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eastAsia="方正大标宋简体"/>
          <w:b/>
          <w:w w:val="90"/>
          <w:sz w:val="30"/>
          <w:szCs w:val="30"/>
        </w:rPr>
      </w:pPr>
      <w:r>
        <w:rPr>
          <w:rFonts w:eastAsia="方正大标宋简体"/>
          <w:b/>
          <w:w w:val="90"/>
          <w:sz w:val="30"/>
          <w:szCs w:val="30"/>
        </w:rPr>
        <w:t>电气工程及其自动化专业本科生培养方案和指导性教学计划</w:t>
      </w:r>
    </w:p>
    <w:p>
      <w:pPr>
        <w:adjustRightInd w:val="0"/>
        <w:snapToGrid w:val="0"/>
        <w:spacing w:line="360" w:lineRule="auto"/>
        <w:rPr>
          <w:rFonts w:ascii="仿宋_GB2312" w:hAnsi="宋体" w:eastAsia="仿宋_GB2312"/>
          <w:b/>
          <w:spacing w:val="-6"/>
          <w:sz w:val="24"/>
        </w:rPr>
      </w:pPr>
    </w:p>
    <w:p>
      <w:pPr>
        <w:adjustRightInd w:val="0"/>
        <w:snapToGrid w:val="0"/>
        <w:spacing w:line="360" w:lineRule="auto"/>
        <w:rPr>
          <w:rFonts w:ascii="仿宋_GB2312" w:hAnsi="宋体" w:eastAsia="仿宋_GB2312"/>
          <w:b/>
          <w:spacing w:val="-6"/>
          <w:sz w:val="24"/>
        </w:rPr>
      </w:pPr>
      <w:r>
        <w:rPr>
          <w:rFonts w:hint="eastAsia" w:ascii="仿宋_GB2312" w:hAnsi="宋体" w:eastAsia="仿宋_GB2312"/>
          <w:b/>
          <w:spacing w:val="-6"/>
          <w:sz w:val="24"/>
        </w:rPr>
        <w:t>一、培养目标与基本规格</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（一）专业名称和代码</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 xml:space="preserve">  专业名称：电气工程及其自动化       专业代码：080601</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（二）培养目标</w:t>
      </w:r>
    </w:p>
    <w:p>
      <w:pPr>
        <w:widowControl/>
        <w:spacing w:line="360" w:lineRule="auto"/>
        <w:rPr>
          <w:rFonts w:ascii="宋体" w:hAnsi="宋体" w:cs="宋体"/>
          <w:color w:val="auto"/>
          <w:kern w:val="0"/>
          <w:szCs w:val="21"/>
        </w:rPr>
      </w:pPr>
      <w:r>
        <w:rPr>
          <w:rFonts w:hint="eastAsia" w:ascii="宋体" w:hAnsi="宋体" w:cs="宋体"/>
          <w:color w:val="auto"/>
          <w:kern w:val="0"/>
          <w:szCs w:val="21"/>
        </w:rPr>
        <w:tab/>
      </w:r>
      <w:r>
        <w:rPr>
          <w:rFonts w:hint="eastAsia" w:ascii="宋体" w:hAnsi="宋体" w:cs="宋体"/>
          <w:color w:val="auto"/>
          <w:kern w:val="0"/>
          <w:szCs w:val="21"/>
        </w:rPr>
        <w:t>本专业立足湖州、服务浙江、辐射长三角，结合电力、电气和装备制造等产业人才需求,按照“厚基础、宽口径、高素质、强能力”的要求，注重学生的综合素养培育、个性化发展、实践动手和创新创业能力的全程化培养，使学生具备政治思想素质过硬，德、智、体、美全面发展，以及具有“君子之风”的人格素养,掌握电气工程及其自动化专业的基本理论知识、应用技术，具有较强的产品开发、工程设计、市场开拓、组织管理、科学研究等方面的实际工作能力，以及更高层次的后续深造能力，在电力、电气和自动化等领域能成为“笃学崇工、厚德尚用”的</w:t>
      </w:r>
      <w:r>
        <w:rPr>
          <w:rFonts w:hint="eastAsia" w:ascii="宋体" w:hAnsi="宋体" w:cs="宋体"/>
          <w:color w:val="auto"/>
          <w:kern w:val="0"/>
          <w:szCs w:val="21"/>
          <w:lang w:eastAsia="zh-CN"/>
        </w:rPr>
        <w:t>高素质</w:t>
      </w:r>
      <w:r>
        <w:rPr>
          <w:rFonts w:hint="eastAsia" w:ascii="宋体" w:hAnsi="宋体" w:cs="宋体"/>
          <w:color w:val="auto"/>
          <w:kern w:val="0"/>
          <w:szCs w:val="21"/>
        </w:rPr>
        <w:t>应用型工程技术人才。</w:t>
      </w:r>
    </w:p>
    <w:p>
      <w:pPr>
        <w:widowControl/>
        <w:spacing w:line="360" w:lineRule="auto"/>
        <w:ind w:left="185" w:leftChars="31" w:hanging="120" w:hangingChars="50"/>
        <w:rPr>
          <w:rFonts w:ascii="仿宋_GB2312" w:hAnsi="宋体" w:eastAsia="仿宋_GB2312"/>
          <w:sz w:val="24"/>
        </w:rPr>
      </w:pPr>
      <w:r>
        <w:rPr>
          <w:rFonts w:hint="eastAsia" w:ascii="仿宋_GB2312" w:hAnsi="宋体" w:eastAsia="仿宋_GB2312"/>
          <w:sz w:val="24"/>
        </w:rPr>
        <w:t>（三）基本规格</w:t>
      </w:r>
    </w:p>
    <w:p>
      <w:pPr>
        <w:widowControl/>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思想道德素质：热爱社会主义祖国，拥护中国共产党领导，遵纪守法；掌握马克思列宁主义、毛泽东思想的基本原理和中国特色社会主义理论体系，理想信念坚定；深入践行社会主义核心价值观，具有较强的社会责任感和集体荣誉感，尊敬师长，团结同学，奋发有为；传承“明体达用”校训精神，做有理想、有道德、有知识、有志向的人，做有用的人，做有为之士。</w:t>
      </w:r>
    </w:p>
    <w:p>
      <w:pPr>
        <w:widowControl/>
        <w:spacing w:line="360" w:lineRule="auto"/>
        <w:ind w:firstLine="42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文化素质：热爱中华优秀传统文化，通过对君子文化的学习研究，不断提升崇雅尚美的君子气质和素养；掌握专业以外的人文社会科学、自然科学等方面的基础知识，具有宽厚的文化修养、科学素养和高尚的审美情趣；掌握社会发展潮流，具有开阔的国际视野、较好的现代理念和较强的创新意识；掌握人际交往基本礼仪技能，具有和谐的人际关系。</w:t>
      </w:r>
    </w:p>
    <w:p>
      <w:pPr>
        <w:widowControl/>
        <w:spacing w:line="360" w:lineRule="auto"/>
        <w:ind w:firstLine="42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ascii="宋体" w:hAnsi="宋体" w:cs="宋体"/>
          <w:color w:val="000000" w:themeColor="text1"/>
          <w:kern w:val="0"/>
          <w:szCs w:val="21"/>
          <w14:textFill>
            <w14:solidFill>
              <w14:schemeClr w14:val="tx1"/>
            </w14:solidFill>
          </w14:textFill>
        </w:rPr>
        <w:t>业务素质：系统地掌握电气工程的基本理论、基础知识和实验技能，</w:t>
      </w:r>
      <w:r>
        <w:rPr>
          <w:rFonts w:hint="eastAsia" w:ascii="宋体" w:hAnsi="宋体" w:cs="宋体"/>
          <w:color w:val="000000" w:themeColor="text1"/>
          <w:kern w:val="0"/>
          <w:szCs w:val="21"/>
          <w14:textFill>
            <w14:solidFill>
              <w14:schemeClr w14:val="tx1"/>
            </w14:solidFill>
          </w14:textFill>
        </w:rPr>
        <w:t>包括电路元器件知识、电路识图及制图知识以及电气工程技术核心知识；具备电气工程领域各学科的方向性知识，包括电机与电器知识、电力系统知识等；了解电气工程交叉学科的基础知识，具有电气装置与电气系统的设计知识；</w:t>
      </w:r>
      <w:r>
        <w:rPr>
          <w:rFonts w:ascii="宋体" w:hAnsi="宋体" w:cs="宋体"/>
          <w:color w:val="000000" w:themeColor="text1"/>
          <w:kern w:val="0"/>
          <w:szCs w:val="21"/>
          <w14:textFill>
            <w14:solidFill>
              <w14:schemeClr w14:val="tx1"/>
            </w14:solidFill>
          </w14:textFill>
        </w:rPr>
        <w:t>能正确把握电气工程专业的科学体系，了解电气工程学科前沿的发展趋势；了解企业管理的基本知识，具有较强的工作适应能力；能较熟练地掌握一门外国语，具有听、说、读、写、译的的基本能力；掌握计算机的应用技能；受到科学研究的初步训练，具有一定的科研能力和社会实践能力。</w:t>
      </w:r>
    </w:p>
    <w:p>
      <w:pPr>
        <w:widowControl/>
        <w:spacing w:line="360" w:lineRule="auto"/>
        <w:ind w:firstLine="42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身心素质：具有一定的国防军事知识和体育运动知识，掌握锻炼身体的技能，养成科学的锻炼身体习惯和卫生习惯，达到国家规定的大学生的体育和军事训练合格标准；具备健全的心理素质和健康的体魄，具有良好的文明行为习惯，并具有欣赏美和创造美的能力。</w:t>
      </w:r>
    </w:p>
    <w:p>
      <w:pPr>
        <w:widowControl/>
        <w:spacing w:line="360" w:lineRule="auto"/>
        <w:ind w:firstLine="42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ascii="宋体" w:hAnsi="宋体" w:cs="宋体"/>
          <w:color w:val="000000" w:themeColor="text1"/>
          <w:kern w:val="0"/>
          <w:szCs w:val="21"/>
          <w14:textFill>
            <w14:solidFill>
              <w14:schemeClr w14:val="tx1"/>
            </w14:solidFill>
          </w14:textFill>
        </w:rPr>
        <w:t>创新</w:t>
      </w:r>
      <w:r>
        <w:rPr>
          <w:rFonts w:hint="eastAsia" w:ascii="宋体" w:hAnsi="宋体" w:cs="宋体"/>
          <w:color w:val="000000" w:themeColor="text1"/>
          <w:kern w:val="0"/>
          <w:szCs w:val="21"/>
          <w14:textFill>
            <w14:solidFill>
              <w14:schemeClr w14:val="tx1"/>
            </w14:solidFill>
          </w14:textFill>
        </w:rPr>
        <w:t>创业能力：</w:t>
      </w:r>
      <w:r>
        <w:rPr>
          <w:rFonts w:ascii="宋体" w:hAnsi="宋体" w:cs="宋体"/>
          <w:color w:val="000000" w:themeColor="text1"/>
          <w:kern w:val="0"/>
          <w:szCs w:val="21"/>
          <w14:textFill>
            <w14:solidFill>
              <w14:schemeClr w14:val="tx1"/>
            </w14:solidFill>
          </w14:textFill>
        </w:rPr>
        <w:t>参加</w:t>
      </w:r>
      <w:r>
        <w:rPr>
          <w:rFonts w:hint="eastAsia" w:ascii="宋体" w:hAnsi="宋体" w:cs="宋体"/>
          <w:color w:val="000000" w:themeColor="text1"/>
          <w:kern w:val="0"/>
          <w:szCs w:val="21"/>
          <w14:textFill>
            <w14:solidFill>
              <w14:schemeClr w14:val="tx1"/>
            </w14:solidFill>
          </w14:textFill>
        </w:rPr>
        <w:t>各类</w:t>
      </w:r>
      <w:r>
        <w:rPr>
          <w:rFonts w:ascii="宋体" w:hAnsi="宋体" w:cs="宋体"/>
          <w:color w:val="000000" w:themeColor="text1"/>
          <w:kern w:val="0"/>
          <w:szCs w:val="21"/>
          <w14:textFill>
            <w14:solidFill>
              <w14:schemeClr w14:val="tx1"/>
            </w14:solidFill>
          </w14:textFill>
        </w:rPr>
        <w:t>创新</w:t>
      </w:r>
      <w:r>
        <w:rPr>
          <w:rFonts w:hint="eastAsia" w:ascii="宋体" w:hAnsi="宋体" w:cs="宋体"/>
          <w:color w:val="000000" w:themeColor="text1"/>
          <w:kern w:val="0"/>
          <w:szCs w:val="21"/>
          <w14:textFill>
            <w14:solidFill>
              <w14:schemeClr w14:val="tx1"/>
            </w14:solidFill>
          </w14:textFill>
        </w:rPr>
        <w:t>创业</w:t>
      </w:r>
      <w:r>
        <w:rPr>
          <w:rFonts w:ascii="宋体" w:hAnsi="宋体" w:cs="宋体"/>
          <w:color w:val="000000" w:themeColor="text1"/>
          <w:kern w:val="0"/>
          <w:szCs w:val="21"/>
          <w14:textFill>
            <w14:solidFill>
              <w14:schemeClr w14:val="tx1"/>
            </w14:solidFill>
          </w14:textFill>
        </w:rPr>
        <w:t>竞赛活动，能够具备初步从事</w:t>
      </w:r>
      <w:r>
        <w:rPr>
          <w:rFonts w:hint="eastAsia" w:ascii="宋体" w:hAnsi="宋体" w:cs="宋体"/>
          <w:color w:val="000000" w:themeColor="text1"/>
          <w:kern w:val="0"/>
          <w:szCs w:val="21"/>
          <w14:textFill>
            <w14:solidFill>
              <w14:schemeClr w14:val="tx1"/>
            </w14:solidFill>
          </w14:textFill>
        </w:rPr>
        <w:t>电力</w:t>
      </w:r>
      <w:r>
        <w:rPr>
          <w:rFonts w:ascii="宋体" w:hAnsi="宋体" w:cs="宋体"/>
          <w:color w:val="000000" w:themeColor="text1"/>
          <w:kern w:val="0"/>
          <w:szCs w:val="21"/>
          <w14:textFill>
            <w14:solidFill>
              <w14:schemeClr w14:val="tx1"/>
            </w14:solidFill>
          </w14:textFill>
        </w:rPr>
        <w:t>系统</w:t>
      </w: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电气传动控制、计算机应用软件以及相关领域的技术研发工作的能力。</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（四）专业特色</w:t>
      </w:r>
    </w:p>
    <w:p>
      <w:pPr>
        <w:widowControl/>
        <w:spacing w:line="360" w:lineRule="auto"/>
        <w:ind w:firstLine="42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专业着力推行校地共育、产教融合工科人才培养模式，联合国网电力培训中心、天能等10余家国企和上市公司共建校地共育基地和两个共建实验室，组建一支校内外专兼结合的双师型教师队伍，协同实施大学四年“工程认知、项目实训、生产实习、暑期专业实践”的工程实践全程化教学。浙江省高等教育教学成果奖一等奖、国家级大学生校外实践教育基地、浙江省“十二五”新兴特色专业保障了工科人才培养质量；专业对接区域产业特色，“十二五”期间完成横向项目近30项，到帐经费600余万元，“过程与装备智能化”特色鲜明；专任教师人人有项目，转化为学生各类各级创新实践项目30余项，学生参与教师科研比例达32.7%，科研反哺教学交互相长。</w:t>
      </w:r>
    </w:p>
    <w:p>
      <w:pPr>
        <w:adjustRightInd w:val="0"/>
        <w:snapToGrid w:val="0"/>
        <w:spacing w:line="360" w:lineRule="auto"/>
        <w:rPr>
          <w:rFonts w:ascii="仿宋_GB2312" w:hAnsi="宋体" w:eastAsia="仿宋_GB2312"/>
          <w:b/>
          <w:spacing w:val="-6"/>
          <w:sz w:val="24"/>
        </w:rPr>
      </w:pPr>
      <w:r>
        <w:rPr>
          <w:rFonts w:hint="eastAsia" w:ascii="仿宋_GB2312" w:hAnsi="宋体" w:eastAsia="仿宋_GB2312"/>
          <w:b/>
          <w:spacing w:val="-6"/>
          <w:sz w:val="24"/>
        </w:rPr>
        <w:t>二、学制与学位</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（一）学制和修业年限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学制为四年，在校修业年限为3～6年。</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（二）最低毕业学分和授予的学位</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lang w:eastAsia="zh-CN"/>
          <w14:textFill>
            <w14:solidFill>
              <w14:schemeClr w14:val="tx1"/>
            </w14:solidFill>
          </w14:textFill>
        </w:rPr>
        <w:t>本专业</w:t>
      </w:r>
      <w:r>
        <w:rPr>
          <w:color w:val="000000" w:themeColor="text1"/>
          <w:szCs w:val="21"/>
          <w14:textFill>
            <w14:solidFill>
              <w14:schemeClr w14:val="tx1"/>
            </w14:solidFill>
          </w14:textFill>
        </w:rPr>
        <w:t>最低毕业总课程学分169学分</w:t>
      </w:r>
      <w:r>
        <w:rPr>
          <w:rFonts w:hint="eastAsia"/>
          <w:color w:val="000000" w:themeColor="text1"/>
          <w:szCs w:val="21"/>
          <w:lang w:val="en-US" w:eastAsia="zh-CN"/>
          <w14:textFill>
            <w14:solidFill>
              <w14:schemeClr w14:val="tx1"/>
            </w14:solidFill>
          </w14:textFill>
        </w:rPr>
        <w:t>，第二课堂学分不低于5学分</w:t>
      </w:r>
      <w:r>
        <w:rPr>
          <w:color w:val="000000" w:themeColor="text1"/>
          <w:szCs w:val="21"/>
          <w14:textFill>
            <w14:solidFill>
              <w14:schemeClr w14:val="tx1"/>
            </w14:solidFill>
          </w14:textFill>
        </w:rPr>
        <w:t>，授予工学学士学位。</w:t>
      </w:r>
    </w:p>
    <w:p>
      <w:pPr>
        <w:adjustRightInd w:val="0"/>
        <w:snapToGrid w:val="0"/>
        <w:spacing w:line="360" w:lineRule="auto"/>
        <w:rPr>
          <w:rFonts w:ascii="仿宋_GB2312" w:hAnsi="宋体" w:eastAsia="仿宋_GB2312"/>
          <w:b/>
          <w:spacing w:val="-6"/>
          <w:sz w:val="24"/>
        </w:rPr>
      </w:pPr>
      <w:r>
        <w:rPr>
          <w:rFonts w:hint="eastAsia" w:ascii="仿宋_GB2312" w:hAnsi="宋体" w:eastAsia="仿宋_GB2312"/>
          <w:b/>
          <w:spacing w:val="-6"/>
          <w:sz w:val="24"/>
        </w:rPr>
        <w:t>三、主干学科和主要课程</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（一）主干学科</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电气工程、控制科学与工程。</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（二）主干课程</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电路原理、模拟电子电路、数字逻辑电路、自动控制原理、电磁场理论、电机学、嵌入式系统及应用、电力电子技术。</w:t>
      </w:r>
    </w:p>
    <w:p>
      <w:pPr>
        <w:widowControl/>
        <w:spacing w:line="360" w:lineRule="auto"/>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1.电路原理</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64</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3</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内容简介：本</w:t>
      </w:r>
      <w:r>
        <w:rPr>
          <w:rFonts w:hint="eastAsia" w:ascii="宋体" w:hAnsi="宋体" w:cs="宋体"/>
          <w:color w:val="000000"/>
          <w:kern w:val="0"/>
          <w:szCs w:val="21"/>
        </w:rPr>
        <w:t>课程系统地论述了电路基本理论和电路分析方法，是进一步学习其他专业课程必不可少的前期基础课程。主要包含三大方面内容：电阻电路的分析、动态电路的时域分析和动态电路的相量分析法。使学生掌握电路的基本理论和方法，通过相关实验使学生得到实验技能的基本训练，为后续课程的学习准备必要的电路理论知识和分析方法。</w:t>
      </w:r>
    </w:p>
    <w:p>
      <w:pPr>
        <w:widowControl/>
        <w:spacing w:line="360" w:lineRule="auto"/>
        <w:rPr>
          <w:rFonts w:ascii="宋体" w:hAnsi="宋体" w:cs="宋体"/>
          <w:color w:val="000000"/>
          <w:kern w:val="0"/>
          <w:szCs w:val="21"/>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kern w:val="0"/>
          <w:szCs w:val="21"/>
        </w:rPr>
        <w:t>参考教材：</w:t>
      </w:r>
    </w:p>
    <w:p>
      <w:pPr>
        <w:widowControl/>
        <w:spacing w:line="360" w:lineRule="auto"/>
        <w:rPr>
          <w:rFonts w:ascii="宋体" w:hAnsi="宋体" w:cs="宋体"/>
          <w:color w:val="000000"/>
          <w:kern w:val="0"/>
          <w:szCs w:val="21"/>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kern w:val="0"/>
          <w:szCs w:val="21"/>
        </w:rPr>
        <w:t>《电路分析基础》（第四版）上</w:t>
      </w:r>
      <w:r>
        <w:rPr>
          <w:rFonts w:ascii="宋体" w:hAnsi="宋体" w:cs="宋体"/>
          <w:color w:val="000000" w:themeColor="text1"/>
          <w:kern w:val="0"/>
          <w:szCs w:val="21"/>
          <w14:textFill>
            <w14:solidFill>
              <w14:schemeClr w14:val="tx1"/>
            </w14:solidFill>
          </w14:textFill>
        </w:rPr>
        <w:t>下</w:t>
      </w:r>
      <w:r>
        <w:rPr>
          <w:rFonts w:ascii="宋体" w:hAnsi="宋体" w:cs="宋体"/>
          <w:color w:val="000000"/>
          <w:kern w:val="0"/>
          <w:szCs w:val="21"/>
        </w:rPr>
        <w:t>册，李瀚荪  高等教育出版社  2006年5月</w:t>
      </w:r>
    </w:p>
    <w:p>
      <w:pPr>
        <w:widowControl/>
        <w:spacing w:line="360" w:lineRule="auto"/>
        <w:rPr>
          <w:rFonts w:ascii="宋体" w:hAnsi="宋体" w:cs="宋体"/>
          <w:color w:val="000000"/>
          <w:kern w:val="0"/>
          <w:szCs w:val="21"/>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kern w:val="0"/>
          <w:szCs w:val="21"/>
        </w:rPr>
        <w:t>参考书目：</w:t>
      </w:r>
    </w:p>
    <w:p>
      <w:pPr>
        <w:widowControl/>
        <w:spacing w:line="360" w:lineRule="auto"/>
        <w:rPr>
          <w:rFonts w:ascii="宋体" w:hAnsi="宋体" w:cs="宋体"/>
          <w:color w:val="000000"/>
          <w:kern w:val="0"/>
          <w:szCs w:val="21"/>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kern w:val="0"/>
          <w:szCs w:val="21"/>
        </w:rPr>
        <w:t>《电路分析基础》上、下册（第三版）李瀚荪  高等教育出版社</w:t>
      </w:r>
    </w:p>
    <w:p>
      <w:pPr>
        <w:widowControl/>
        <w:spacing w:line="360" w:lineRule="auto"/>
        <w:rPr>
          <w:rFonts w:ascii="宋体" w:hAnsi="宋体" w:cs="宋体"/>
          <w:color w:val="000000"/>
          <w:kern w:val="0"/>
          <w:szCs w:val="21"/>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kern w:val="0"/>
          <w:szCs w:val="21"/>
        </w:rPr>
        <w:t>《电路原理》邱关源  高等教育出版社  2002年2月</w:t>
      </w:r>
    </w:p>
    <w:p>
      <w:pPr>
        <w:widowControl/>
        <w:spacing w:line="360" w:lineRule="auto"/>
        <w:ind w:firstLine="316" w:firstLineChars="15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2.模拟电子电路</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48</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3</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3</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4</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模拟电子线路》是电气工程及其自动化专业的专业主干课，是一门实践性很强的技术应用型课程。其任务是使学生获得模拟电子线路方面的基本理论、基础知识和基本技能，系统地掌握一些常用电子器件和基本电子电路的工作原理及分析设计方法，掌握常用电子仪器的使用方法和基本单元电路的调制方法。</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参考教材：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康华光.电子技术基础-模拟部分（第六版）.高等教育出版社.2013</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参考书目：</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李国顺等. 模拟电子技术基础同步辅导:清华·第三版. 哈尔滨工业大学出版社.2005.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范立南等. 模拟电子技术.清华大学出版社.2013.</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苏志平等. 模拟电子技术基础(第三版)全程辅导. 中国建材工业出版社.2004.</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课程网络资源：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《模拟电子技术》视频教程全集.西安交大.主讲：赵进全.</w:t>
      </w:r>
      <w:r>
        <w:rPr>
          <w:rFonts w:ascii="宋体" w:hAnsi="宋体" w:cs="宋体"/>
          <w:color w:val="000000" w:themeColor="text1"/>
          <w:kern w:val="0"/>
          <w:szCs w:val="21"/>
          <w14:textFill>
            <w14:solidFill>
              <w14:schemeClr w14:val="tx1"/>
            </w14:solidFill>
          </w14:textFill>
        </w:rPr>
        <w:t xml:space="preserve"> http://v.dxsbb.com/dianqi/2000/</w:t>
      </w:r>
    </w:p>
    <w:p>
      <w:pPr>
        <w:widowControl/>
        <w:spacing w:line="360" w:lineRule="auto"/>
        <w:ind w:firstLine="316" w:firstLineChars="15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3.数字逻辑电路</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48</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3</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3</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4</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本课程以数字电子技术为基础，涉及数字技术中的基本原理、基本分析和涉及方法，具有很强的工程实践性。通过本课程的学习，使学生获得数字技术方面的基本理论、基本知识和基本技能，掌握数字逻辑电路的基本分析和设计方法，具有初步解决数字逻辑问题的能力，为学习后续课程奠定基础。</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参考教材：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康华光.电子技术基础——数字部分（第六版）.高等教育出版社.</w:t>
      </w:r>
      <w:r>
        <w:rPr>
          <w:rFonts w:ascii="宋体" w:hAnsi="宋体" w:cs="宋体"/>
          <w:color w:val="000000" w:themeColor="text1"/>
          <w:kern w:val="0"/>
          <w:szCs w:val="21"/>
          <w14:textFill>
            <w14:solidFill>
              <w14:schemeClr w14:val="tx1"/>
            </w14:solidFill>
          </w14:textFill>
        </w:rPr>
        <w:t>20</w:t>
      </w:r>
      <w:r>
        <w:rPr>
          <w:rFonts w:hint="eastAsia" w:ascii="宋体" w:hAnsi="宋体" w:cs="宋体"/>
          <w:color w:val="000000" w:themeColor="text1"/>
          <w:kern w:val="0"/>
          <w:szCs w:val="21"/>
          <w14:textFill>
            <w14:solidFill>
              <w14:schemeClr w14:val="tx1"/>
            </w14:solidFill>
          </w14:textFill>
        </w:rPr>
        <w:t>14</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参考书目：</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阎石. 数字电子技术基础.5版.高等教育出版社.2006.</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阎石等. 数字电子技术基础(第五版)习题解答.高等教育出版社.2006.</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潘明等.数字电子技术基础.科学出版社.2008.</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课程网络资源：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《数字电路》精品课程.国防科学技术大学.</w:t>
      </w:r>
      <w:r>
        <w:rPr>
          <w:rFonts w:ascii="宋体" w:hAnsi="宋体" w:cs="宋体"/>
          <w:color w:val="000000" w:themeColor="text1"/>
          <w:kern w:val="0"/>
          <w:szCs w:val="21"/>
          <w14:textFill>
            <w14:solidFill>
              <w14:schemeClr w14:val="tx1"/>
            </w14:solidFill>
          </w14:textFill>
        </w:rPr>
        <w:t xml:space="preserve"> http://jpkc.nudt.edu.cn/szdzjsjc/</w:t>
      </w:r>
    </w:p>
    <w:p>
      <w:pPr>
        <w:widowControl/>
        <w:spacing w:line="360" w:lineRule="auto"/>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4.自动控制原理</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64</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本课程研究控制系统分析与设计的基础知识，包括线性控制系统的建模，时域分析法（主要研究系统的稳定性、稳态特性和动态特性），根轨迹分析法，频率分析法三大分析法，以及系统的校正与计算机辅助分析；</w:t>
      </w:r>
      <w:r>
        <w:rPr>
          <w:rFonts w:ascii="宋体" w:hAnsi="宋体" w:cs="宋体"/>
          <w:color w:val="000000" w:themeColor="text1"/>
          <w:kern w:val="0"/>
          <w:szCs w:val="21"/>
          <w14:textFill>
            <w14:solidFill>
              <w14:schemeClr w14:val="tx1"/>
            </w14:solidFill>
          </w14:textFill>
        </w:rPr>
        <w:t>离散控制系统和非线性控制系统的分析。</w:t>
      </w:r>
      <w:r>
        <w:rPr>
          <w:rFonts w:hint="eastAsia" w:ascii="宋体" w:hAnsi="宋体" w:cs="宋体"/>
          <w:color w:val="000000" w:themeColor="text1"/>
          <w:kern w:val="0"/>
          <w:szCs w:val="21"/>
          <w14:textFill>
            <w14:solidFill>
              <w14:schemeClr w14:val="tx1"/>
            </w14:solidFill>
          </w14:textFill>
        </w:rPr>
        <w:t>通过对本课程的学习，使学生了解并掌握分析、设计自动控制系统的基本理论和基本方法，为相关后续课程和今后的工作奠定坚实的基础。</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参考教材：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邹伯敏.自动控制理论（第三版）.北京:机械工业出版社,2007年.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颜文俊.控制理论CAI教程（第二版）.北京:科学出版社,2006年.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王万良.自动控制原理.北京:高等教育出版社,2008年.</w:t>
      </w:r>
    </w:p>
    <w:p>
      <w:pPr>
        <w:widowControl/>
        <w:spacing w:line="360" w:lineRule="auto"/>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参考书目:</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胡寿松.自动控制原理（第五版）.北京: 科学出版社,2007年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绪芳胜彦.现代控制工程.北京:电子工业出版社,2000年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Richard C.Dorf Robert H.Bishop.现代控制系统Modern Control Systems（第九版）北京:科学出版社,2002年.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John Dorsey.连续与离散控制系统Continuous and Discrete Control Systems. 北京:电子工业出版社,2002年.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夏德钤等.自动控制理论（第三版）.北京:机械工业出版社, 2007年.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刘祖润.自动控制原理.北京:机械工业出版社,1997年.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刘勤贤等.自动控制原理.杭州:浙江大学出版社,2009年.</w:t>
      </w:r>
    </w:p>
    <w:p>
      <w:pPr>
        <w:widowControl/>
        <w:spacing w:line="360" w:lineRule="auto"/>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参考杂志：</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自动化学报、控制理论与应用、控制与决策、信息与控制、电气自动化等</w:t>
      </w:r>
    </w:p>
    <w:p>
      <w:pPr>
        <w:widowControl/>
        <w:spacing w:line="360" w:lineRule="auto"/>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5.电磁场理论</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32</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2</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2</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本课程是一门理论性较强、概念抽象的重要的专业基础课程，也是一些交叉学科的生长点和新兴边缘学科发展的基础。本课程是在大学物理电磁学的基础上，进一步学习电磁场的矢量描述方法、动态场的性质以及相关分析模型，掌握麦克斯韦方程组等工程电磁学中的基本定理。培养学生用矢量场的观点对电气工程中的电磁现象和电磁过程进行定性分析与判断和定量计算的初步能力；通过电磁场理论的推理过程，培养学生正确思维和严谨的科学态度。</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教材及教学参考书：</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 xml:space="preserve">谢树艺，《工程数学（矢量分析与场论 第四版）》，高等教育出版社 ，2012； </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河北科技大学理学院数学系，《矢量分析与场论》，清华大学出版社 ，2015；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易中，《场论基础》，冶金工业出版社，2013；</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杨永发，徐勇，《高等学校理工科基础课教材：向量分析与场论（第2版）》，南开大学出版社 ，2006；</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周邦融，《规范场论》，国防工业出版社 ，2015；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谢处方，电磁场与电磁波，北京：高等教育出版社，1999（3）</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王家礼，电磁场与电磁波，西安电子科技大学  2002（1）</w:t>
      </w:r>
    </w:p>
    <w:p>
      <w:pPr>
        <w:widowControl/>
        <w:spacing w:line="360" w:lineRule="auto"/>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6.电机学</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64</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本课程的主要任务是使学生掌握变压器、交流电机和直流电机的基本知识、基本理论、基本计算方法和一般运行分析问题以及电力拖动系统的运行情况，为后续专业基础课和专业课的学习打好必要的基础。</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参考教材：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唐介</w:t>
      </w: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电机与拖动（第二版），北京： 高等教育出版社， 2009（1）</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教学参考书：</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顾绳谷</w:t>
      </w: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电机与拖动基础（上下册）</w:t>
      </w: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机械工业出版社， 2001（3）</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吴浩烈</w:t>
      </w: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《电机及电力拖动基础》</w:t>
      </w: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 xml:space="preserve">重庆大学出版社，2002（5） </w:t>
      </w:r>
    </w:p>
    <w:p>
      <w:pPr>
        <w:widowControl/>
        <w:spacing w:line="360" w:lineRule="auto"/>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7.嵌入式系统及应用</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32</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2</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2</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6</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内容简介：通过本课程的学习，掌握嵌入式系统的组成和基本原理、ARM体系结构特点、嵌入式系统设计的一般原理及方法、以及嵌入式操作系统的基本原理及应用等。</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参考教材：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孟祥莲等.嵌入式系统及应用教程.清华大学出版社.2010.</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参考书目：</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 xml:space="preserve">杜春雷.ARM体系结构与编程.清华大学出版社.2003. </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田泽.嵌入式系统开发与应用教程.北京航空航天大学出版社.2005.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胥静.嵌入式系统设计与开发实例详解.北京航空航天大学出版社.2005.</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课程网络资源：</w:t>
      </w:r>
    </w:p>
    <w:p>
      <w:pPr>
        <w:widowControl/>
        <w:spacing w:line="360" w:lineRule="auto"/>
        <w:ind w:left="210" w:left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《嵌入式系统及应用》视频教程.上海交大.</w:t>
      </w:r>
      <w:r>
        <w:rPr>
          <w:rFonts w:ascii="宋体" w:hAnsi="宋体" w:cs="宋体"/>
          <w:color w:val="000000" w:themeColor="text1"/>
          <w:kern w:val="0"/>
          <w:szCs w:val="21"/>
          <w14:textFill>
            <w14:solidFill>
              <w14:schemeClr w14:val="tx1"/>
            </w14:solidFill>
          </w14:textFill>
        </w:rPr>
        <w:t xml:space="preserve"> http://www.mba518.com/jiaocheng/sort01/sort0470/down-4797.html</w:t>
      </w:r>
    </w:p>
    <w:p>
      <w:pPr>
        <w:widowControl/>
        <w:spacing w:line="360" w:lineRule="auto"/>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8.电力电子技术</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总学时：</w:t>
      </w:r>
      <w:r>
        <w:rPr>
          <w:rFonts w:hint="eastAsia" w:ascii="宋体" w:hAnsi="宋体" w:cs="宋体"/>
          <w:color w:val="000000" w:themeColor="text1"/>
          <w:kern w:val="0"/>
          <w:szCs w:val="21"/>
          <w14:textFill>
            <w14:solidFill>
              <w14:schemeClr w14:val="tx1"/>
            </w14:solidFill>
          </w14:textFill>
        </w:rPr>
        <w:t>64</w:t>
      </w:r>
      <w:r>
        <w:rPr>
          <w:rFonts w:ascii="宋体" w:hAnsi="宋体" w:cs="宋体"/>
          <w:color w:val="000000" w:themeColor="text1"/>
          <w:kern w:val="0"/>
          <w:szCs w:val="21"/>
          <w14:textFill>
            <w14:solidFill>
              <w14:schemeClr w14:val="tx1"/>
            </w14:solidFill>
          </w14:textFill>
        </w:rPr>
        <w:t xml:space="preserve">    周学时：</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学分：</w:t>
      </w:r>
      <w:r>
        <w:rPr>
          <w:rFonts w:hint="eastAsia" w:ascii="宋体" w:hAnsi="宋体" w:cs="宋体"/>
          <w:color w:val="000000" w:themeColor="text1"/>
          <w:kern w:val="0"/>
          <w:szCs w:val="21"/>
          <w14:textFill>
            <w14:solidFill>
              <w14:schemeClr w14:val="tx1"/>
            </w14:solidFill>
          </w14:textFill>
        </w:rPr>
        <w:t>4</w:t>
      </w:r>
      <w:r>
        <w:rPr>
          <w:rFonts w:ascii="宋体" w:hAnsi="宋体" w:cs="宋体"/>
          <w:color w:val="000000" w:themeColor="text1"/>
          <w:kern w:val="0"/>
          <w:szCs w:val="21"/>
          <w14:textFill>
            <w14:solidFill>
              <w14:schemeClr w14:val="tx1"/>
            </w14:solidFill>
          </w14:textFill>
        </w:rPr>
        <w:t xml:space="preserve">   开课学期：</w:t>
      </w:r>
      <w:r>
        <w:rPr>
          <w:rFonts w:hint="eastAsia" w:ascii="宋体" w:hAnsi="宋体" w:cs="宋体"/>
          <w:color w:val="000000" w:themeColor="text1"/>
          <w:kern w:val="0"/>
          <w:szCs w:val="21"/>
          <w14:textFill>
            <w14:solidFill>
              <w14:schemeClr w14:val="tx1"/>
            </w14:solidFill>
          </w14:textFill>
        </w:rPr>
        <w:t>6</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内容简介：本课程</w:t>
      </w:r>
      <w:r>
        <w:rPr>
          <w:rFonts w:ascii="宋体" w:hAnsi="宋体" w:cs="宋体"/>
          <w:color w:val="000000" w:themeColor="text1"/>
          <w:kern w:val="0"/>
          <w:szCs w:val="21"/>
          <w14:textFill>
            <w14:solidFill>
              <w14:schemeClr w14:val="tx1"/>
            </w14:solidFill>
          </w14:textFill>
        </w:rPr>
        <w:t>是一门实践性很强的重要的专业基础课，是后续专业课程不可缺少的先行课。电力电子技术是对电能进行变换和控制的一门技术，包括对电压、电流、频率和相位的变换。电力电子技术由三部分内容组成，即电力电子器件、电力电子电路、电力电子系统及其控制。本课程着重学习电能变换电路的基本工作原理。</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参考教材：</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王兆安、黄俊.《电力电子技术》（第四版）. 北京：机械工业出版社,2000年.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教学参考书：</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林渭勋.《电力电子技术基础》. 北京：机械工业出版社,2002年.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张　立.《现代电力电子技术》. 北京：科学出版社,2003年.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周明宝, 瞿文龙.《电力电子技术》. 北京：机械工业出版社,1997年.</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ascii="宋体" w:hAnsi="宋体" w:cs="宋体"/>
          <w:color w:val="000000" w:themeColor="text1"/>
          <w:kern w:val="0"/>
          <w:szCs w:val="21"/>
          <w14:textFill>
            <w14:solidFill>
              <w14:schemeClr w14:val="tx1"/>
            </w14:solidFill>
          </w14:textFill>
        </w:rPr>
        <w:t>叶 斌.《电力电子技术习题集》. 北京：中国铁道出版社,1995年.</w:t>
      </w:r>
    </w:p>
    <w:p>
      <w:pPr>
        <w:adjustRightInd w:val="0"/>
        <w:snapToGrid w:val="0"/>
        <w:spacing w:line="360" w:lineRule="auto"/>
        <w:rPr>
          <w:rFonts w:ascii="仿宋_GB2312" w:hAnsi="宋体" w:eastAsia="仿宋_GB2312"/>
          <w:sz w:val="24"/>
        </w:rPr>
      </w:pP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（三）学位课程</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大学英语II、电路原理、模拟电子电路、自动控制原理、电力电子技术。</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学生修读学位课程的学分绩点须达到《湖州师范学院学士学位授予条例》中规定的最低要求，方可获得学士学位。</w:t>
      </w:r>
    </w:p>
    <w:p>
      <w:pPr>
        <w:adjustRightInd w:val="0"/>
        <w:snapToGrid w:val="0"/>
        <w:spacing w:line="360" w:lineRule="auto"/>
        <w:rPr>
          <w:rFonts w:ascii="仿宋_GB2312" w:hAnsi="宋体" w:eastAsia="仿宋_GB2312"/>
          <w:b/>
          <w:spacing w:val="-6"/>
          <w:sz w:val="24"/>
        </w:rPr>
      </w:pPr>
      <w:r>
        <w:rPr>
          <w:rFonts w:hint="eastAsia" w:ascii="仿宋_GB2312" w:hAnsi="宋体" w:eastAsia="仿宋_GB2312"/>
          <w:b/>
          <w:spacing w:val="-6"/>
          <w:sz w:val="24"/>
        </w:rPr>
        <w:t xml:space="preserve">四、课程设置及修读说明 </w:t>
      </w:r>
    </w:p>
    <w:p>
      <w:pPr>
        <w:adjustRightInd w:val="0"/>
        <w:snapToGrid w:val="0"/>
        <w:spacing w:line="360" w:lineRule="auto"/>
        <w:rPr>
          <w:rFonts w:ascii="仿宋_GB2312" w:hAnsi="宋体" w:eastAsia="仿宋_GB2312"/>
          <w:sz w:val="24"/>
        </w:rPr>
      </w:pPr>
      <w:r>
        <w:rPr>
          <w:rFonts w:hint="eastAsia" w:ascii="仿宋_GB2312" w:hAnsi="宋体" w:eastAsia="仿宋_GB2312"/>
          <w:sz w:val="24"/>
        </w:rPr>
        <w:t>（一）教学计划课程设置表</w:t>
      </w:r>
    </w:p>
    <w:tbl>
      <w:tblPr>
        <w:tblStyle w:val="15"/>
        <w:tblW w:w="9981" w:type="dxa"/>
        <w:jc w:val="center"/>
        <w:tblInd w:w="0" w:type="dxa"/>
        <w:tblLayout w:type="fixed"/>
        <w:tblCellMar>
          <w:top w:w="0" w:type="dxa"/>
          <w:left w:w="108" w:type="dxa"/>
          <w:bottom w:w="0" w:type="dxa"/>
          <w:right w:w="108" w:type="dxa"/>
        </w:tblCellMar>
      </w:tblPr>
      <w:tblGrid>
        <w:gridCol w:w="412"/>
        <w:gridCol w:w="283"/>
        <w:gridCol w:w="346"/>
        <w:gridCol w:w="1806"/>
        <w:gridCol w:w="643"/>
        <w:gridCol w:w="476"/>
        <w:gridCol w:w="411"/>
        <w:gridCol w:w="701"/>
        <w:gridCol w:w="390"/>
        <w:gridCol w:w="426"/>
        <w:gridCol w:w="426"/>
        <w:gridCol w:w="426"/>
        <w:gridCol w:w="426"/>
        <w:gridCol w:w="426"/>
        <w:gridCol w:w="361"/>
        <w:gridCol w:w="462"/>
        <w:gridCol w:w="542"/>
        <w:gridCol w:w="451"/>
        <w:gridCol w:w="567"/>
      </w:tblGrid>
      <w:tr>
        <w:tblPrEx>
          <w:tblLayout w:type="fixed"/>
          <w:tblCellMar>
            <w:top w:w="0" w:type="dxa"/>
            <w:left w:w="108" w:type="dxa"/>
            <w:bottom w:w="0" w:type="dxa"/>
            <w:right w:w="108" w:type="dxa"/>
          </w:tblCellMar>
        </w:tblPrEx>
        <w:trPr>
          <w:cantSplit/>
          <w:trHeight w:val="189" w:hRule="atLeast"/>
          <w:jc w:val="center"/>
        </w:trPr>
        <w:tc>
          <w:tcPr>
            <w:tcW w:w="695" w:type="dxa"/>
            <w:gridSpan w:val="2"/>
            <w:vMerge w:val="restart"/>
            <w:tcBorders>
              <w:top w:val="single" w:color="auto" w:sz="12" w:space="0"/>
              <w:left w:val="single" w:color="auto" w:sz="12"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课程类别</w:t>
            </w:r>
          </w:p>
        </w:tc>
        <w:tc>
          <w:tcPr>
            <w:tcW w:w="346"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课 程编码</w:t>
            </w:r>
          </w:p>
        </w:tc>
        <w:tc>
          <w:tcPr>
            <w:tcW w:w="1806"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rPr>
                <w:rFonts w:ascii="仿宋_GB2312" w:eastAsia="仿宋_GB2312"/>
                <w:kern w:val="0"/>
                <w:sz w:val="13"/>
                <w:szCs w:val="13"/>
              </w:rPr>
            </w:pPr>
            <w:r>
              <w:rPr>
                <w:rFonts w:hint="eastAsia" w:ascii="仿宋_GB2312" w:eastAsia="仿宋_GB2312"/>
                <w:kern w:val="0"/>
                <w:sz w:val="13"/>
                <w:szCs w:val="13"/>
              </w:rPr>
              <w:t>课程名称</w:t>
            </w:r>
          </w:p>
        </w:tc>
        <w:tc>
          <w:tcPr>
            <w:tcW w:w="2231" w:type="dxa"/>
            <w:gridSpan w:val="4"/>
            <w:tcBorders>
              <w:top w:val="single" w:color="auto" w:sz="12" w:space="0"/>
              <w:left w:val="single" w:color="auto" w:sz="4" w:space="0"/>
              <w:right w:val="single" w:color="auto" w:sz="4" w:space="0"/>
            </w:tcBorders>
            <w:vAlign w:val="center"/>
          </w:tcPr>
          <w:p>
            <w:pPr>
              <w:snapToGrid w:val="0"/>
              <w:spacing w:line="0" w:lineRule="atLeast"/>
              <w:ind w:left="-2" w:leftChars="-126" w:hanging="263" w:hangingChars="203"/>
              <w:jc w:val="center"/>
              <w:rPr>
                <w:rFonts w:ascii="仿宋_GB2312" w:eastAsia="仿宋_GB2312"/>
                <w:kern w:val="0"/>
                <w:sz w:val="13"/>
                <w:szCs w:val="13"/>
              </w:rPr>
            </w:pPr>
            <w:r>
              <w:rPr>
                <w:rFonts w:hint="eastAsia" w:ascii="仿宋_GB2312" w:eastAsia="仿宋_GB2312"/>
                <w:kern w:val="0"/>
                <w:sz w:val="13"/>
                <w:szCs w:val="13"/>
              </w:rPr>
              <w:t>课程学时数</w:t>
            </w:r>
          </w:p>
        </w:tc>
        <w:tc>
          <w:tcPr>
            <w:tcW w:w="3343" w:type="dxa"/>
            <w:gridSpan w:val="8"/>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按学年、学期分配</w:t>
            </w:r>
          </w:p>
        </w:tc>
        <w:tc>
          <w:tcPr>
            <w:tcW w:w="542" w:type="dxa"/>
            <w:vMerge w:val="restart"/>
            <w:tcBorders>
              <w:top w:val="single" w:color="auto" w:sz="12" w:space="0"/>
              <w:left w:val="nil"/>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学</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分</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数</w:t>
            </w:r>
          </w:p>
        </w:tc>
        <w:tc>
          <w:tcPr>
            <w:tcW w:w="451" w:type="dxa"/>
            <w:vMerge w:val="restart"/>
            <w:tcBorders>
              <w:top w:val="single" w:color="auto" w:sz="12" w:space="0"/>
              <w:left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考核</w:t>
            </w:r>
          </w:p>
          <w:p>
            <w:pPr>
              <w:widowControl/>
              <w:snapToGrid w:val="0"/>
              <w:spacing w:line="0" w:lineRule="atLeast"/>
              <w:ind w:left="-210" w:leftChars="-100" w:right="-210" w:rightChars="-100"/>
              <w:jc w:val="center"/>
              <w:rPr>
                <w:rFonts w:ascii="仿宋_GB2312" w:eastAsia="仿宋_GB2312"/>
                <w:kern w:val="0"/>
                <w:sz w:val="13"/>
                <w:szCs w:val="13"/>
              </w:rPr>
            </w:pPr>
          </w:p>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方式</w:t>
            </w:r>
          </w:p>
        </w:tc>
        <w:tc>
          <w:tcPr>
            <w:tcW w:w="567" w:type="dxa"/>
            <w:vMerge w:val="restart"/>
            <w:tcBorders>
              <w:top w:val="single" w:color="auto" w:sz="12" w:space="0"/>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备</w:t>
            </w:r>
          </w:p>
          <w:p>
            <w:pPr>
              <w:snapToGrid w:val="0"/>
              <w:spacing w:line="0" w:lineRule="atLeast"/>
              <w:ind w:left="-210" w:leftChars="-100" w:right="-210" w:rightChars="-100"/>
              <w:jc w:val="center"/>
              <w:rPr>
                <w:rFonts w:ascii="仿宋_GB2312" w:eastAsia="仿宋_GB2312"/>
                <w:kern w:val="0"/>
                <w:sz w:val="13"/>
                <w:szCs w:val="13"/>
              </w:rPr>
            </w:pPr>
          </w:p>
          <w:p>
            <w:pPr>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注</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34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rFonts w:ascii="仿宋_GB2312" w:eastAsia="仿宋_GB2312"/>
                <w:kern w:val="0"/>
                <w:sz w:val="13"/>
                <w:szCs w:val="13"/>
              </w:rPr>
            </w:pPr>
          </w:p>
        </w:tc>
        <w:tc>
          <w:tcPr>
            <w:tcW w:w="643"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总</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计</w:t>
            </w:r>
          </w:p>
        </w:tc>
        <w:tc>
          <w:tcPr>
            <w:tcW w:w="476" w:type="dxa"/>
            <w:vMerge w:val="restart"/>
            <w:tcBorders>
              <w:top w:val="single" w:color="auto" w:sz="4" w:space="0"/>
              <w:left w:val="nil"/>
              <w:right w:val="single" w:color="auto" w:sz="4" w:space="0"/>
            </w:tcBorders>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授课</w:t>
            </w:r>
          </w:p>
        </w:tc>
        <w:tc>
          <w:tcPr>
            <w:tcW w:w="411" w:type="dxa"/>
            <w:vMerge w:val="restart"/>
            <w:tcBorders>
              <w:top w:val="single" w:color="auto" w:sz="4" w:space="0"/>
              <w:left w:val="nil"/>
              <w:right w:val="single" w:color="auto" w:sz="4" w:space="0"/>
            </w:tcBorders>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实验</w:t>
            </w:r>
          </w:p>
        </w:tc>
        <w:tc>
          <w:tcPr>
            <w:tcW w:w="701" w:type="dxa"/>
            <w:vMerge w:val="restart"/>
            <w:tcBorders>
              <w:top w:val="single" w:color="auto" w:sz="4" w:space="0"/>
              <w:left w:val="nil"/>
              <w:right w:val="single" w:color="auto" w:sz="4" w:space="0"/>
            </w:tcBorders>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实践与实训</w:t>
            </w:r>
          </w:p>
        </w:tc>
        <w:tc>
          <w:tcPr>
            <w:tcW w:w="816"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第一学年</w:t>
            </w:r>
          </w:p>
        </w:tc>
        <w:tc>
          <w:tcPr>
            <w:tcW w:w="852"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第二学年</w:t>
            </w:r>
          </w:p>
        </w:tc>
        <w:tc>
          <w:tcPr>
            <w:tcW w:w="852"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第三学年</w:t>
            </w:r>
          </w:p>
        </w:tc>
        <w:tc>
          <w:tcPr>
            <w:tcW w:w="823"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第四学年</w:t>
            </w:r>
          </w:p>
        </w:tc>
        <w:tc>
          <w:tcPr>
            <w:tcW w:w="542" w:type="dxa"/>
            <w:vMerge w:val="continue"/>
            <w:tcBorders>
              <w:left w:val="nil"/>
              <w:right w:val="single" w:color="auto" w:sz="4" w:space="0"/>
            </w:tcBorders>
            <w:vAlign w:val="center"/>
          </w:tcPr>
          <w:p>
            <w:pPr>
              <w:snapToGrid w:val="0"/>
              <w:spacing w:line="0" w:lineRule="atLeast"/>
              <w:jc w:val="center"/>
              <w:rPr>
                <w:rFonts w:ascii="仿宋_GB2312" w:eastAsia="仿宋_GB2312"/>
                <w:kern w:val="0"/>
                <w:sz w:val="13"/>
                <w:szCs w:val="13"/>
              </w:rPr>
            </w:pPr>
          </w:p>
        </w:tc>
        <w:tc>
          <w:tcPr>
            <w:tcW w:w="451" w:type="dxa"/>
            <w:vMerge w:val="continue"/>
            <w:tcBorders>
              <w:left w:val="single" w:color="auto" w:sz="4" w:space="0"/>
              <w:right w:val="single" w:color="auto" w:sz="4" w:space="0"/>
            </w:tcBorders>
            <w:vAlign w:val="center"/>
          </w:tcPr>
          <w:p>
            <w:pPr>
              <w:snapToGrid w:val="0"/>
              <w:spacing w:line="0" w:lineRule="atLeast"/>
              <w:ind w:left="-210" w:leftChars="-100" w:right="-210" w:rightChars="-100"/>
              <w:jc w:val="center"/>
              <w:rPr>
                <w:rFonts w:ascii="仿宋_GB2312" w:eastAsia="仿宋_GB2312"/>
                <w:kern w:val="0"/>
                <w:sz w:val="13"/>
                <w:szCs w:val="13"/>
              </w:rPr>
            </w:pPr>
          </w:p>
        </w:tc>
        <w:tc>
          <w:tcPr>
            <w:tcW w:w="567" w:type="dxa"/>
            <w:vMerge w:val="continue"/>
            <w:tcBorders>
              <w:left w:val="nil"/>
              <w:right w:val="single" w:color="auto" w:sz="12" w:space="0"/>
            </w:tcBorders>
            <w:vAlign w:val="center"/>
          </w:tcPr>
          <w:p>
            <w:pPr>
              <w:snapToGrid w:val="0"/>
              <w:spacing w:line="0" w:lineRule="atLeast"/>
              <w:ind w:left="-210" w:leftChars="-100" w:right="-210" w:rightChars="-100"/>
              <w:jc w:val="center"/>
              <w:rPr>
                <w:rFonts w:ascii="仿宋_GB2312" w:eastAsia="仿宋_GB2312"/>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180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rFonts w:ascii="仿宋_GB2312" w:eastAsia="仿宋_GB2312"/>
                <w:kern w:val="0"/>
                <w:sz w:val="13"/>
                <w:szCs w:val="13"/>
              </w:rPr>
            </w:pPr>
          </w:p>
        </w:tc>
        <w:tc>
          <w:tcPr>
            <w:tcW w:w="643" w:type="dxa"/>
            <w:vMerge w:val="continue"/>
            <w:tcBorders>
              <w:top w:val="nil"/>
              <w:left w:val="single" w:color="auto" w:sz="4" w:space="0"/>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476"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411"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701"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390"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一</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15</w:t>
            </w:r>
          </w:p>
        </w:tc>
        <w:tc>
          <w:tcPr>
            <w:tcW w:w="42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二</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18</w:t>
            </w:r>
          </w:p>
        </w:tc>
        <w:tc>
          <w:tcPr>
            <w:tcW w:w="42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三</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18</w:t>
            </w:r>
          </w:p>
        </w:tc>
        <w:tc>
          <w:tcPr>
            <w:tcW w:w="42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xml:space="preserve"> 四</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18</w:t>
            </w:r>
          </w:p>
        </w:tc>
        <w:tc>
          <w:tcPr>
            <w:tcW w:w="42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五</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18</w:t>
            </w:r>
          </w:p>
        </w:tc>
        <w:tc>
          <w:tcPr>
            <w:tcW w:w="42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六</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18</w:t>
            </w:r>
          </w:p>
        </w:tc>
        <w:tc>
          <w:tcPr>
            <w:tcW w:w="361"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七</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18</w:t>
            </w:r>
          </w:p>
        </w:tc>
        <w:tc>
          <w:tcPr>
            <w:tcW w:w="462"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八</w:t>
            </w:r>
          </w:p>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16</w:t>
            </w:r>
          </w:p>
        </w:tc>
        <w:tc>
          <w:tcPr>
            <w:tcW w:w="542" w:type="dxa"/>
            <w:vMerge w:val="continue"/>
            <w:tcBorders>
              <w:left w:val="single" w:color="auto" w:sz="4" w:space="0"/>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451" w:type="dxa"/>
            <w:vMerge w:val="continue"/>
            <w:tcBorders>
              <w:left w:val="single" w:color="auto" w:sz="4" w:space="0"/>
              <w:bottom w:val="single" w:color="auto" w:sz="4" w:space="0"/>
              <w:right w:val="single" w:color="auto" w:sz="4" w:space="0"/>
            </w:tcBorders>
            <w:vAlign w:val="bottom"/>
          </w:tcPr>
          <w:p>
            <w:pPr>
              <w:snapToGrid w:val="0"/>
              <w:spacing w:line="0" w:lineRule="atLeast"/>
              <w:ind w:left="-210" w:leftChars="-100" w:right="-210" w:rightChars="-100"/>
              <w:jc w:val="center"/>
              <w:rPr>
                <w:rFonts w:ascii="仿宋_GB2312" w:eastAsia="仿宋_GB2312"/>
                <w:kern w:val="0"/>
                <w:sz w:val="13"/>
                <w:szCs w:val="13"/>
              </w:rPr>
            </w:pPr>
          </w:p>
        </w:tc>
        <w:tc>
          <w:tcPr>
            <w:tcW w:w="567" w:type="dxa"/>
            <w:vMerge w:val="continue"/>
            <w:tcBorders>
              <w:left w:val="single" w:color="auto" w:sz="4" w:space="0"/>
              <w:bottom w:val="single" w:color="auto" w:sz="4" w:space="0"/>
              <w:right w:val="single" w:color="auto" w:sz="12" w:space="0"/>
            </w:tcBorders>
            <w:vAlign w:val="bottom"/>
          </w:tcPr>
          <w:p>
            <w:pPr>
              <w:widowControl/>
              <w:snapToGrid w:val="0"/>
              <w:spacing w:line="0" w:lineRule="atLeast"/>
              <w:ind w:left="-210" w:leftChars="-100" w:right="-210" w:rightChars="-100"/>
              <w:jc w:val="center"/>
              <w:rPr>
                <w:rFonts w:ascii="仿宋_GB2312" w:eastAsia="仿宋_GB2312"/>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restart"/>
            <w:tcBorders>
              <w:top w:val="nil"/>
              <w:left w:val="single" w:color="auto" w:sz="12" w:space="0"/>
              <w:right w:val="single" w:color="auto" w:sz="4" w:space="0"/>
            </w:tcBorders>
            <w:textDirection w:val="tbRlV"/>
            <w:vAlign w:val="center"/>
          </w:tcPr>
          <w:p>
            <w:pPr>
              <w:widowControl/>
              <w:snapToGrid w:val="0"/>
              <w:spacing w:line="0" w:lineRule="atLeast"/>
              <w:jc w:val="center"/>
              <w:rPr>
                <w:rFonts w:ascii="仿宋_GB2312" w:eastAsia="仿宋_GB2312"/>
                <w:kern w:val="0"/>
                <w:sz w:val="13"/>
                <w:szCs w:val="13"/>
              </w:rPr>
            </w:pP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通识必修课</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single" w:color="auto" w:sz="4" w:space="0"/>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马克思主义基本原理</w:t>
            </w:r>
          </w:p>
        </w:tc>
        <w:tc>
          <w:tcPr>
            <w:tcW w:w="64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1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思想道德修养与法律基础</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45</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45</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毛泽东思想和中国特色社会主义理论体系概论</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毛泽东思想和中国特色社会主义理论体系概论（实践）</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adjustRightInd w:val="0"/>
              <w:snapToGrid w:val="0"/>
              <w:spacing w:line="0" w:lineRule="atLeast"/>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中国近现代史纲要</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形势与政策</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adjustRightInd w:val="0"/>
              <w:snapToGrid w:val="0"/>
              <w:spacing w:line="0" w:lineRule="atLeast"/>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大学英语</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93</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93</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sym w:font="Symbol" w:char="F044"/>
            </w: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6</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大学生心理健康教育</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网络学习</w:t>
            </w:r>
          </w:p>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8课时</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体育与健康</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144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128</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大学生职业发展与就业指导</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网络、课外</w:t>
            </w:r>
          </w:p>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学习8课时</w:t>
            </w:r>
          </w:p>
        </w:tc>
      </w:tr>
      <w:tr>
        <w:tblPrEx>
          <w:tblLayout w:type="fixed"/>
          <w:tblCellMar>
            <w:top w:w="0" w:type="dxa"/>
            <w:left w:w="108" w:type="dxa"/>
            <w:bottom w:w="0" w:type="dxa"/>
            <w:right w:w="108" w:type="dxa"/>
          </w:tblCellMar>
        </w:tblPrEx>
        <w:trPr>
          <w:cantSplit/>
          <w:trHeight w:val="417"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6" w:space="0"/>
              <w:right w:val="single" w:color="auto" w:sz="4" w:space="0"/>
            </w:tcBorders>
            <w:shd w:val="clear" w:color="auto" w:fill="auto"/>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高等数学A</w:t>
            </w:r>
          </w:p>
        </w:tc>
        <w:tc>
          <w:tcPr>
            <w:tcW w:w="643" w:type="dxa"/>
            <w:tcBorders>
              <w:top w:val="nil"/>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154</w:t>
            </w:r>
          </w:p>
        </w:tc>
        <w:tc>
          <w:tcPr>
            <w:tcW w:w="476" w:type="dxa"/>
            <w:tcBorders>
              <w:top w:val="nil"/>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154</w:t>
            </w:r>
          </w:p>
        </w:tc>
        <w:tc>
          <w:tcPr>
            <w:tcW w:w="411" w:type="dxa"/>
            <w:tcBorders>
              <w:top w:val="nil"/>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9</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left"/>
              <w:rPr>
                <w:rFonts w:ascii="仿宋_GB2312" w:eastAsia="仿宋_GB2312"/>
                <w:kern w:val="0"/>
                <w:sz w:val="10"/>
                <w:szCs w:val="10"/>
              </w:rPr>
            </w:pPr>
            <w:r>
              <w:rPr>
                <w:rFonts w:hint="eastAsia" w:ascii="仿宋_GB2312" w:eastAsia="仿宋_GB2312"/>
                <w:kern w:val="0"/>
                <w:sz w:val="10"/>
                <w:szCs w:val="10"/>
              </w:rPr>
              <w:t>考</w:t>
            </w: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right="-210" w:rightChars="-100"/>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303"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single" w:color="auto" w:sz="6" w:space="0"/>
              <w:left w:val="nil"/>
              <w:bottom w:val="single" w:color="auto" w:sz="4" w:space="0"/>
              <w:right w:val="single" w:color="auto" w:sz="4" w:space="0"/>
            </w:tcBorders>
            <w:shd w:val="clear" w:color="auto" w:fill="auto"/>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大学计算机基础</w:t>
            </w:r>
          </w:p>
        </w:tc>
        <w:tc>
          <w:tcPr>
            <w:tcW w:w="643" w:type="dxa"/>
            <w:tcBorders>
              <w:top w:val="single" w:color="auto" w:sz="4" w:space="0"/>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30</w:t>
            </w:r>
          </w:p>
        </w:tc>
        <w:tc>
          <w:tcPr>
            <w:tcW w:w="476" w:type="dxa"/>
            <w:tcBorders>
              <w:top w:val="single" w:color="auto" w:sz="4" w:space="0"/>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14</w:t>
            </w:r>
          </w:p>
        </w:tc>
        <w:tc>
          <w:tcPr>
            <w:tcW w:w="411" w:type="dxa"/>
            <w:tcBorders>
              <w:top w:val="single" w:color="auto" w:sz="4" w:space="0"/>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single" w:color="auto" w:sz="4" w:space="0"/>
              <w:left w:val="nil"/>
              <w:bottom w:val="single" w:color="auto" w:sz="4" w:space="0"/>
              <w:right w:val="single" w:color="auto" w:sz="12" w:space="0"/>
            </w:tcBorders>
            <w:vAlign w:val="center"/>
          </w:tcPr>
          <w:p>
            <w:pPr>
              <w:adjustRightInd w:val="0"/>
              <w:snapToGrid w:val="0"/>
              <w:spacing w:line="0" w:lineRule="atLeast"/>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303"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single" w:color="auto" w:sz="6" w:space="0"/>
              <w:left w:val="nil"/>
              <w:bottom w:val="single" w:color="auto" w:sz="4" w:space="0"/>
              <w:right w:val="single" w:color="auto" w:sz="4" w:space="0"/>
            </w:tcBorders>
            <w:shd w:val="clear" w:color="auto" w:fill="auto"/>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C程序设计</w:t>
            </w:r>
          </w:p>
        </w:tc>
        <w:tc>
          <w:tcPr>
            <w:tcW w:w="643" w:type="dxa"/>
            <w:tcBorders>
              <w:top w:val="single" w:color="auto" w:sz="4" w:space="0"/>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single" w:color="auto" w:sz="4" w:space="0"/>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11" w:type="dxa"/>
            <w:tcBorders>
              <w:top w:val="single" w:color="auto" w:sz="4" w:space="0"/>
              <w:left w:val="nil"/>
              <w:bottom w:val="single" w:color="auto" w:sz="4" w:space="0"/>
              <w:right w:val="single" w:color="auto" w:sz="4" w:space="0"/>
            </w:tcBorders>
            <w:shd w:val="clear" w:color="auto" w:fill="auto"/>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70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single" w:color="auto" w:sz="4" w:space="0"/>
              <w:left w:val="nil"/>
              <w:bottom w:val="single" w:color="auto" w:sz="4" w:space="0"/>
              <w:right w:val="single" w:color="auto" w:sz="12" w:space="0"/>
            </w:tcBorders>
            <w:vAlign w:val="center"/>
          </w:tcPr>
          <w:p>
            <w:pPr>
              <w:adjustRightInd w:val="0"/>
              <w:snapToGrid w:val="0"/>
              <w:spacing w:line="0" w:lineRule="atLeast"/>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创新创业基础</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adjustRightInd w:val="0"/>
              <w:snapToGrid w:val="0"/>
              <w:spacing w:line="0" w:lineRule="atLeast"/>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single" w:color="auto" w:sz="4" w:space="0"/>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国防教育</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34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single" w:color="auto" w:sz="4" w:space="0"/>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军事训练</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90"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p>
        </w:tc>
        <w:tc>
          <w:tcPr>
            <w:tcW w:w="2152"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866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r>
              <w:rPr>
                <w:rFonts w:hint="eastAsia" w:eastAsia="仿宋_GB2312"/>
                <w:kern w:val="0"/>
                <w:sz w:val="13"/>
                <w:szCs w:val="13"/>
              </w:rPr>
              <w:t>34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w:t>
            </w:r>
            <w:r>
              <w:rPr>
                <w:rFonts w:eastAsia="仿宋_GB2312"/>
                <w:kern w:val="0"/>
                <w:sz w:val="13"/>
                <w:szCs w:val="13"/>
              </w:rPr>
              <w:t>0</w:t>
            </w:r>
          </w:p>
        </w:tc>
        <w:tc>
          <w:tcPr>
            <w:tcW w:w="70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89</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18</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19</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9</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0</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0</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0</w:t>
            </w: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49</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65" w:hRule="atLeast"/>
          <w:jc w:val="center"/>
        </w:trPr>
        <w:tc>
          <w:tcPr>
            <w:tcW w:w="695" w:type="dxa"/>
            <w:gridSpan w:val="2"/>
            <w:tcBorders>
              <w:top w:val="nil"/>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通识</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rPr>
                <w:rFonts w:ascii="仿宋_GB2312" w:eastAsia="仿宋_GB2312"/>
                <w:kern w:val="0"/>
                <w:sz w:val="13"/>
                <w:szCs w:val="13"/>
              </w:rPr>
            </w:pPr>
            <w:r>
              <w:rPr>
                <w:rFonts w:hint="eastAsia" w:ascii="仿宋_GB2312" w:eastAsia="仿宋_GB2312"/>
                <w:kern w:val="0"/>
                <w:sz w:val="13"/>
                <w:szCs w:val="13"/>
              </w:rPr>
              <w:t>大学英语类课程</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96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96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6</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rFonts w:ascii="仿宋_GB2312" w:eastAsia="仿宋_GB2312"/>
                <w:kern w:val="0"/>
                <w:sz w:val="10"/>
                <w:szCs w:val="10"/>
              </w:rPr>
            </w:pPr>
            <w:r>
              <w:rPr>
                <w:rFonts w:hint="eastAsia" w:ascii="仿宋_GB2312" w:eastAsia="仿宋_GB2312"/>
                <w:kern w:val="0"/>
                <w:sz w:val="10"/>
                <w:szCs w:val="10"/>
              </w:rPr>
              <w:t xml:space="preserve">   详见附表1</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tcBorders>
              <w:top w:val="nil"/>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选修</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rPr>
                <w:rFonts w:ascii="仿宋_GB2312" w:eastAsia="仿宋_GB2312"/>
                <w:kern w:val="0"/>
                <w:sz w:val="13"/>
                <w:szCs w:val="13"/>
              </w:rPr>
            </w:pPr>
            <w:r>
              <w:rPr>
                <w:rFonts w:hint="eastAsia" w:ascii="仿宋_GB2312" w:eastAsia="仿宋_GB2312"/>
                <w:kern w:val="0"/>
                <w:sz w:val="13"/>
                <w:szCs w:val="13"/>
              </w:rPr>
              <w:t>国学经典类课程</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color w:val="00B0F0"/>
                <w:kern w:val="0"/>
                <w:sz w:val="10"/>
                <w:szCs w:val="10"/>
              </w:rPr>
            </w:pPr>
            <w:r>
              <w:rPr>
                <w:rFonts w:hint="eastAsia" w:ascii="仿宋_GB2312" w:eastAsia="仿宋_GB2312"/>
                <w:kern w:val="0"/>
                <w:sz w:val="10"/>
                <w:szCs w:val="10"/>
              </w:rPr>
              <w:t>详见附表2</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tcBorders>
              <w:top w:val="nil"/>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课</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rPr>
                <w:rFonts w:ascii="仿宋_GB2312" w:eastAsia="仿宋_GB2312"/>
                <w:kern w:val="0"/>
                <w:sz w:val="13"/>
                <w:szCs w:val="13"/>
              </w:rPr>
            </w:pPr>
            <w:r>
              <w:rPr>
                <w:rFonts w:hint="eastAsia" w:ascii="仿宋_GB2312" w:eastAsia="仿宋_GB2312"/>
                <w:kern w:val="0"/>
                <w:sz w:val="13"/>
                <w:szCs w:val="13"/>
              </w:rPr>
              <w:t>任选课</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96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96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FF0000"/>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6</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详见修读说明</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tcBorders>
              <w:top w:val="nil"/>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center"/>
          </w:tcPr>
          <w:p>
            <w:pPr>
              <w:widowControl/>
              <w:snapToGrid w:val="0"/>
              <w:spacing w:line="0" w:lineRule="atLeast"/>
              <w:ind w:firstLine="325" w:firstLineChars="250"/>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224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224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5</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5</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65" w:hRule="atLeast"/>
          <w:jc w:val="center"/>
        </w:trPr>
        <w:tc>
          <w:tcPr>
            <w:tcW w:w="412" w:type="dxa"/>
            <w:tcBorders>
              <w:left w:val="single" w:color="auto" w:sz="12"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专</w:t>
            </w:r>
          </w:p>
        </w:tc>
        <w:tc>
          <w:tcPr>
            <w:tcW w:w="283" w:type="dxa"/>
            <w:tcBorders>
              <w:left w:val="single" w:color="auto" w:sz="4"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大学物理D</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54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65" w:hRule="atLeast"/>
          <w:jc w:val="center"/>
        </w:trPr>
        <w:tc>
          <w:tcPr>
            <w:tcW w:w="412" w:type="dxa"/>
            <w:tcBorders>
              <w:left w:val="single" w:color="auto" w:sz="12"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业</w:t>
            </w:r>
          </w:p>
        </w:tc>
        <w:tc>
          <w:tcPr>
            <w:tcW w:w="283" w:type="dxa"/>
            <w:tcBorders>
              <w:left w:val="single" w:color="auto" w:sz="4"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r>
              <w:rPr>
                <w:rFonts w:ascii="仿宋_GB2312" w:eastAsia="仿宋_GB2312"/>
                <w:kern w:val="0"/>
                <w:sz w:val="13"/>
                <w:szCs w:val="13"/>
              </w:rPr>
              <w:t>限</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工程图学</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45</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39</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65" w:hRule="atLeast"/>
          <w:jc w:val="center"/>
        </w:trPr>
        <w:tc>
          <w:tcPr>
            <w:tcW w:w="412" w:type="dxa"/>
            <w:tcBorders>
              <w:left w:val="single" w:color="auto" w:sz="12"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基</w:t>
            </w:r>
          </w:p>
        </w:tc>
        <w:tc>
          <w:tcPr>
            <w:tcW w:w="283" w:type="dxa"/>
            <w:tcBorders>
              <w:left w:val="single" w:color="auto" w:sz="4"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线性代数B</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65" w:hRule="atLeast"/>
          <w:jc w:val="center"/>
        </w:trPr>
        <w:tc>
          <w:tcPr>
            <w:tcW w:w="412" w:type="dxa"/>
            <w:tcBorders>
              <w:left w:val="single" w:color="auto" w:sz="12"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础</w:t>
            </w:r>
          </w:p>
        </w:tc>
        <w:tc>
          <w:tcPr>
            <w:tcW w:w="283" w:type="dxa"/>
            <w:tcBorders>
              <w:left w:val="single" w:color="auto" w:sz="4" w:space="0"/>
              <w:right w:val="single" w:color="auto" w:sz="4" w:space="0"/>
            </w:tcBorders>
            <w:shd w:val="clear" w:color="auto" w:fill="auto"/>
            <w:vAlign w:val="center"/>
          </w:tcPr>
          <w:p>
            <w:pPr>
              <w:snapToGrid w:val="0"/>
              <w:spacing w:line="0" w:lineRule="atLeast"/>
              <w:jc w:val="center"/>
              <w:rPr>
                <w:rFonts w:ascii="仿宋_GB2312" w:eastAsia="仿宋_GB2312"/>
                <w:kern w:val="0"/>
                <w:sz w:val="13"/>
                <w:szCs w:val="13"/>
              </w:rPr>
            </w:pPr>
            <w:r>
              <w:rPr>
                <w:rFonts w:ascii="仿宋_GB2312" w:eastAsia="仿宋_GB2312"/>
                <w:kern w:val="0"/>
                <w:sz w:val="13"/>
                <w:szCs w:val="13"/>
              </w:rPr>
              <w:t>选</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复变函数与积分变换</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tcBorders>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课</w:t>
            </w:r>
          </w:p>
        </w:tc>
        <w:tc>
          <w:tcPr>
            <w:tcW w:w="283" w:type="dxa"/>
            <w:tcBorders>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center"/>
          </w:tcPr>
          <w:p>
            <w:pPr>
              <w:widowControl/>
              <w:snapToGrid w:val="0"/>
              <w:spacing w:line="0" w:lineRule="atLeast"/>
              <w:ind w:firstLine="325" w:firstLineChars="250"/>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173</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157</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11</w:t>
            </w:r>
          </w:p>
        </w:tc>
        <w:tc>
          <w:tcPr>
            <w:tcW w:w="45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专业</w:t>
            </w:r>
          </w:p>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主干</w:t>
            </w:r>
          </w:p>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课</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电路原理</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sym w:font="Symbol" w:char="F044"/>
            </w: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模拟电子电路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sym w:font="Symbol" w:char="F044"/>
            </w: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数字逻辑电路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电磁场理论</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hint="eastAsia" w:eastAsia="仿宋_GB2312"/>
                <w:color w:val="000000" w:themeColor="text1"/>
                <w:kern w:val="0"/>
                <w:sz w:val="13"/>
                <w:szCs w:val="13"/>
                <w14:textFill>
                  <w14:solidFill>
                    <w14:schemeClr w14:val="tx1"/>
                  </w14:solidFill>
                </w14:textFill>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hint="eastAsia" w:eastAsia="仿宋_GB2312"/>
                <w:color w:val="000000" w:themeColor="text1"/>
                <w:kern w:val="0"/>
                <w:sz w:val="13"/>
                <w:szCs w:val="13"/>
                <w14:textFill>
                  <w14:solidFill>
                    <w14:schemeClr w14:val="tx1"/>
                  </w14:solidFill>
                </w14:textFill>
              </w:rPr>
              <w:t>26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hint="eastAsia" w:eastAsia="仿宋_GB2312"/>
                <w:color w:val="000000" w:themeColor="text1"/>
                <w:kern w:val="0"/>
                <w:sz w:val="13"/>
                <w:szCs w:val="13"/>
                <w14:textFill>
                  <w14:solidFill>
                    <w14:schemeClr w14:val="tx1"/>
                  </w14:solidFill>
                </w14:textFill>
              </w:rPr>
              <w:t>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hint="eastAsia" w:eastAsia="仿宋_GB2312"/>
                <w:color w:val="000000" w:themeColor="text1"/>
                <w:kern w:val="0"/>
                <w:sz w:val="13"/>
                <w:szCs w:val="13"/>
                <w14:textFill>
                  <w14:solidFill>
                    <w14:schemeClr w14:val="tx1"/>
                  </w14:solidFill>
                </w14:textFill>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电机学</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5</w:t>
            </w:r>
            <w:r>
              <w:rPr>
                <w:rFonts w:hint="eastAsia" w:eastAsia="仿宋_GB2312"/>
                <w:color w:val="000000" w:themeColor="text1"/>
                <w:kern w:val="0"/>
                <w:sz w:val="13"/>
                <w:szCs w:val="13"/>
                <w14:textFill>
                  <w14:solidFill>
                    <w14:schemeClr w14:val="tx1"/>
                  </w14:solidFill>
                </w14:textFill>
              </w:rPr>
              <w:t>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hint="eastAsia" w:eastAsia="仿宋_GB2312"/>
                <w:color w:val="000000" w:themeColor="text1"/>
                <w:kern w:val="0"/>
                <w:sz w:val="13"/>
                <w:szCs w:val="13"/>
                <w14:textFill>
                  <w14:solidFill>
                    <w14:schemeClr w14:val="tx1"/>
                  </w14:solidFill>
                </w14:textFill>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自动控制原理</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54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sym w:font="Symbol" w:char="F044"/>
            </w:r>
            <w:r>
              <w:rPr>
                <w:rFonts w:eastAsia="仿宋_GB2312"/>
                <w:color w:val="000000" w:themeColor="text1"/>
                <w:kern w:val="0"/>
                <w:sz w:val="13"/>
                <w:szCs w:val="13"/>
                <w14:textFill>
                  <w14:solidFill>
                    <w14:schemeClr w14:val="tx1"/>
                  </w14:solidFill>
                </w14:textFill>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嵌入式系统及应用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24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8</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电力电子技术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52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12</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sym w:font="Symbol" w:char="F044"/>
            </w:r>
            <w:r>
              <w:rPr>
                <w:rFonts w:eastAsia="仿宋_GB2312"/>
                <w:kern w:val="0"/>
                <w:sz w:val="13"/>
                <w:szCs w:val="13"/>
              </w:rPr>
              <w:t>4*</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416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370</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8</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8</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28</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实</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践</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性</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课</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程</w:t>
            </w:r>
          </w:p>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金工实习</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学科认知实践</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电路原理实验</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9-16周</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　</w:t>
            </w: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电工技术实践</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模拟电子电路实验</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9-16周</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数字逻辑电路实验</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9-16周</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电子技术课程设计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系统设计与实践</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工程项目设计训练</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eastAsia="仿宋_GB2312"/>
                <w:kern w:val="0"/>
                <w:sz w:val="13"/>
                <w:szCs w:val="13"/>
              </w:rPr>
              <w:t>2周</w:t>
            </w:r>
          </w:p>
        </w:tc>
        <w:tc>
          <w:tcPr>
            <w:tcW w:w="36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生产实习</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12周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12周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12周</w:t>
            </w: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6</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毕业设计（论文）</w:t>
            </w:r>
          </w:p>
        </w:tc>
        <w:tc>
          <w:tcPr>
            <w:tcW w:w="64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6</w:t>
            </w:r>
            <w:r>
              <w:rPr>
                <w:rFonts w:eastAsia="仿宋_GB2312"/>
                <w:kern w:val="0"/>
                <w:sz w:val="13"/>
                <w:szCs w:val="13"/>
              </w:rPr>
              <w:t>周</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6</w:t>
            </w:r>
            <w:r>
              <w:rPr>
                <w:rFonts w:eastAsia="仿宋_GB2312"/>
                <w:kern w:val="0"/>
                <w:sz w:val="13"/>
                <w:szCs w:val="13"/>
              </w:rPr>
              <w:t>周</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1</w:t>
            </w:r>
            <w:r>
              <w:rPr>
                <w:rFonts w:eastAsia="仿宋_GB2312"/>
                <w:kern w:val="0"/>
                <w:sz w:val="13"/>
                <w:szCs w:val="13"/>
              </w:rPr>
              <w:t>周</w:t>
            </w:r>
          </w:p>
        </w:tc>
        <w:tc>
          <w:tcPr>
            <w:tcW w:w="462"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5周</w:t>
            </w: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8</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656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608</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7</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8</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40</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56</w:t>
            </w: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27</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restart"/>
            <w:tcBorders>
              <w:top w:val="single" w:color="auto" w:sz="4" w:space="0"/>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专业方向选修课</w:t>
            </w:r>
          </w:p>
        </w:tc>
        <w:tc>
          <w:tcPr>
            <w:tcW w:w="283" w:type="dxa"/>
            <w:vMerge w:val="restart"/>
            <w:tcBorders>
              <w:top w:val="single" w:color="auto" w:sz="4" w:space="0"/>
              <w:left w:val="single" w:color="auto" w:sz="4" w:space="0"/>
              <w:right w:val="single" w:color="auto" w:sz="4" w:space="0"/>
            </w:tcBorders>
            <w:shd w:val="clear" w:color="auto" w:fill="auto"/>
            <w:tcMar>
              <w:left w:w="0" w:type="dxa"/>
              <w:right w:w="0" w:type="dxa"/>
            </w:tcMar>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A</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装备</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电气</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传动</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控制</w:t>
            </w:r>
          </w:p>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传感器与检测技术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continue"/>
            <w:tcBorders>
              <w:left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adjustRightInd w:val="0"/>
              <w:snapToGrid w:val="0"/>
              <w:spacing w:line="0" w:lineRule="atLeast"/>
              <w:jc w:val="left"/>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物流技术与装备</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continue"/>
            <w:tcBorders>
              <w:left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tcMar>
              <w:left w:w="0" w:type="dxa"/>
              <w:right w:w="0" w:type="dxa"/>
            </w:tcMar>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电气控制及PLC技术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2</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r>
              <w:rPr>
                <w:rFonts w:eastAsia="仿宋_GB2312"/>
                <w:kern w:val="0"/>
                <w:sz w:val="13"/>
                <w:szCs w:val="13"/>
              </w:rPr>
              <w:t>*</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continue"/>
            <w:tcBorders>
              <w:left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计算机控制技术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40</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8</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continue"/>
            <w:tcBorders>
              <w:left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运动控制系统</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52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12</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continue"/>
            <w:tcBorders>
              <w:left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物流自动化系统设计与应用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40</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8</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8周</w:t>
            </w: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continue"/>
            <w:tcBorders>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304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r>
              <w:rPr>
                <w:rFonts w:hint="eastAsia" w:eastAsia="仿宋_GB2312"/>
                <w:kern w:val="0"/>
                <w:sz w:val="13"/>
                <w:szCs w:val="13"/>
              </w:rPr>
              <w:t>5</w:t>
            </w:r>
            <w:r>
              <w:rPr>
                <w:rFonts w:eastAsia="仿宋_GB2312"/>
                <w:kern w:val="0"/>
                <w:sz w:val="13"/>
                <w:szCs w:val="13"/>
              </w:rPr>
              <w:t>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r>
              <w:rPr>
                <w:rFonts w:hint="eastAsia" w:eastAsia="仿宋_GB2312"/>
                <w:kern w:val="0"/>
                <w:sz w:val="13"/>
                <w:szCs w:val="13"/>
              </w:rPr>
              <w:t>2</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8</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0</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19</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p>
        </w:tc>
        <w:tc>
          <w:tcPr>
            <w:tcW w:w="283"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B</w:t>
            </w:r>
          </w:p>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电力系统自动化</w:t>
            </w:r>
          </w:p>
          <w:p>
            <w:pPr>
              <w:widowControl/>
              <w:snapToGrid w:val="0"/>
              <w:spacing w:line="0" w:lineRule="atLeast"/>
              <w:jc w:val="center"/>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高电压技术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电力系统分析</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供配电技术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电力系统自动化</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54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4</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考试</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电力系统继电保护</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adjustRightInd w:val="0"/>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发电厂电气装置</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8周</w:t>
            </w: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304</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r>
              <w:rPr>
                <w:rFonts w:hint="eastAsia" w:eastAsia="仿宋_GB2312"/>
                <w:kern w:val="0"/>
                <w:sz w:val="13"/>
                <w:szCs w:val="13"/>
              </w:rPr>
              <w:t>68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0</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19</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vMerge w:val="restart"/>
            <w:tcBorders>
              <w:top w:val="nil"/>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p>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需选16学分</w:t>
            </w:r>
          </w:p>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第7学期上8周</w:t>
            </w: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专</w:t>
            </w:r>
          </w:p>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业</w:t>
            </w:r>
          </w:p>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选</w:t>
            </w:r>
          </w:p>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修</w:t>
            </w:r>
          </w:p>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课</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概率论与数理统计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r>
              <w:rPr>
                <w:rFonts w:eastAsia="仿宋_GB2312"/>
                <w:color w:val="000000" w:themeColor="text1"/>
                <w:kern w:val="0"/>
                <w:sz w:val="13"/>
                <w:szCs w:val="13"/>
                <w14:textFill>
                  <w14:solidFill>
                    <w14:schemeClr w14:val="tx1"/>
                  </w14:solidFill>
                </w14:textFill>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color w:val="000000" w:themeColor="text1"/>
                <w:kern w:val="0"/>
                <w:sz w:val="13"/>
                <w:szCs w:val="13"/>
                <w14:textFill>
                  <w14:solidFill>
                    <w14:schemeClr w14:val="tx1"/>
                  </w14:solidFill>
                </w14:textFill>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color w:val="000000" w:themeColor="text1"/>
                <w:kern w:val="0"/>
                <w:sz w:val="13"/>
                <w:szCs w:val="13"/>
                <w14:textFill>
                  <w14:solidFill>
                    <w14:schemeClr w14:val="tx1"/>
                  </w14:solidFill>
                </w14:textFill>
              </w:rPr>
            </w:pPr>
            <w:r>
              <w:rPr>
                <w:rFonts w:hint="eastAsia" w:ascii="仿宋_GB2312" w:eastAsia="仿宋_GB2312"/>
                <w:color w:val="000000" w:themeColor="text1"/>
                <w:kern w:val="0"/>
                <w:sz w:val="13"/>
                <w:szCs w:val="13"/>
                <w14:textFill>
                  <w14:solidFill>
                    <w14:schemeClr w14:val="tx1"/>
                  </w14:solidFill>
                </w14:textFill>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电气工程CAD</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单片机原理与应用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14</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信号与系统</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机器人技术及应用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40</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8</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数据库技术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软件技术基础</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8</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MATLAB与系统仿真</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20</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12</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物流系统建模与仿真</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控制电机及其应用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现代控制理论</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现代电源技术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现代DSP技术及应用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24</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8</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专业外语</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人工智能</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现代物流设施与规划</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物流信息技术与应用</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工业控制组态及现场总线技术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10</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电气设备监测与故障诊断</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计算机网络与通讯</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95" w:type="dxa"/>
            <w:gridSpan w:val="2"/>
            <w:vMerge w:val="continue"/>
            <w:tcBorders>
              <w:top w:val="single" w:color="auto" w:sz="4" w:space="0"/>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256</w:t>
            </w:r>
            <w:r>
              <w:rPr>
                <w:rFonts w:eastAsia="仿宋_GB2312"/>
                <w:kern w:val="0"/>
                <w:sz w:val="13"/>
                <w:szCs w:val="13"/>
              </w:rPr>
              <w:t>/</w:t>
            </w:r>
            <w:r>
              <w:rPr>
                <w:rFonts w:hint="eastAsia" w:eastAsia="仿宋_GB2312"/>
                <w:kern w:val="0"/>
                <w:sz w:val="13"/>
                <w:szCs w:val="13"/>
              </w:rPr>
              <w:t>800</w:t>
            </w:r>
          </w:p>
        </w:tc>
        <w:tc>
          <w:tcPr>
            <w:tcW w:w="476"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212/660</w:t>
            </w:r>
          </w:p>
        </w:tc>
        <w:tc>
          <w:tcPr>
            <w:tcW w:w="41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32/</w:t>
            </w:r>
            <w:r>
              <w:rPr>
                <w:rFonts w:eastAsia="仿宋_GB2312"/>
                <w:kern w:val="0"/>
                <w:sz w:val="13"/>
                <w:szCs w:val="13"/>
              </w:rPr>
              <w:t>1</w:t>
            </w:r>
            <w:r>
              <w:rPr>
                <w:rFonts w:hint="eastAsia" w:eastAsia="仿宋_GB2312"/>
                <w:kern w:val="0"/>
                <w:sz w:val="13"/>
                <w:szCs w:val="13"/>
              </w:rPr>
              <w:t>12</w:t>
            </w:r>
          </w:p>
        </w:tc>
        <w:tc>
          <w:tcPr>
            <w:tcW w:w="70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12/28</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0</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0</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9</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r>
              <w:rPr>
                <w:rFonts w:hint="eastAsia" w:eastAsia="仿宋_GB2312"/>
                <w:kern w:val="0"/>
                <w:sz w:val="13"/>
                <w:szCs w:val="13"/>
              </w:rPr>
              <w:t>7</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14</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16/48</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vMerge w:val="continue"/>
            <w:tcBorders>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restart"/>
            <w:tcBorders>
              <w:top w:val="single" w:color="auto" w:sz="4" w:space="0"/>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综</w:t>
            </w:r>
          </w:p>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合</w:t>
            </w:r>
          </w:p>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素</w:t>
            </w:r>
          </w:p>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养</w:t>
            </w:r>
          </w:p>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课</w:t>
            </w:r>
          </w:p>
        </w:tc>
        <w:tc>
          <w:tcPr>
            <w:tcW w:w="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选</w:t>
            </w:r>
          </w:p>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修</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学科导论</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16</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restart"/>
            <w:tcBorders>
              <w:top w:val="nil"/>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ascii="仿宋_GB2312" w:eastAsia="仿宋_GB2312"/>
                <w:kern w:val="0"/>
                <w:sz w:val="10"/>
                <w:szCs w:val="10"/>
              </w:rPr>
              <w:t>需选7学分</w:t>
            </w: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top w:val="single" w:color="auto" w:sz="4" w:space="0"/>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项目管理</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top w:val="nil"/>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top w:val="single" w:color="auto" w:sz="4" w:space="0"/>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现代企业管理</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top w:val="nil"/>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top w:val="single" w:color="auto" w:sz="4" w:space="0"/>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工程经济学</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top w:val="nil"/>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top w:val="single" w:color="auto" w:sz="4" w:space="0"/>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专利与项目申报指导</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top w:val="nil"/>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文献检索与科技写作</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p>
        </w:tc>
        <w:tc>
          <w:tcPr>
            <w:tcW w:w="1806" w:type="dxa"/>
            <w:tcBorders>
              <w:top w:val="nil"/>
              <w:left w:val="nil"/>
              <w:bottom w:val="single" w:color="auto" w:sz="4" w:space="0"/>
              <w:right w:val="single" w:color="auto" w:sz="4" w:space="0"/>
            </w:tcBorders>
            <w:vAlign w:val="center"/>
          </w:tcPr>
          <w:p>
            <w:pPr>
              <w:widowControl/>
              <w:snapToGrid w:val="0"/>
              <w:spacing w:line="0" w:lineRule="atLeast"/>
              <w:jc w:val="left"/>
              <w:rPr>
                <w:rFonts w:ascii="仿宋_GB2312" w:eastAsia="仿宋_GB2312"/>
                <w:kern w:val="0"/>
                <w:sz w:val="13"/>
                <w:szCs w:val="13"/>
              </w:rPr>
            </w:pPr>
            <w:r>
              <w:rPr>
                <w:rFonts w:hint="eastAsia" w:ascii="仿宋_GB2312" w:eastAsia="仿宋_GB2312"/>
                <w:kern w:val="0"/>
                <w:sz w:val="13"/>
                <w:szCs w:val="13"/>
              </w:rPr>
              <w:t>口才与礼仪</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32</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2</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r>
              <w:rPr>
                <w:rFonts w:hint="eastAsia" w:ascii="仿宋_GB2312" w:eastAsia="仿宋_GB2312"/>
                <w:kern w:val="0"/>
                <w:sz w:val="13"/>
                <w:szCs w:val="13"/>
              </w:rPr>
              <w:t>考查</w:t>
            </w:r>
          </w:p>
        </w:tc>
        <w:tc>
          <w:tcPr>
            <w:tcW w:w="567"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412" w:type="dxa"/>
            <w:vMerge w:val="continue"/>
            <w:tcBorders>
              <w:left w:val="single" w:color="auto" w:sz="12"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83" w:type="dxa"/>
            <w:vMerge w:val="continue"/>
            <w:tcBorders>
              <w:left w:val="single" w:color="auto" w:sz="4" w:space="0"/>
              <w:bottom w:val="single" w:color="auto" w:sz="4" w:space="0"/>
              <w:right w:val="single" w:color="auto" w:sz="4" w:space="0"/>
            </w:tcBorders>
            <w:shd w:val="clear" w:color="auto" w:fill="auto"/>
            <w:vAlign w:val="center"/>
          </w:tcPr>
          <w:p>
            <w:pPr>
              <w:widowControl/>
              <w:snapToGrid w:val="0"/>
              <w:spacing w:line="0" w:lineRule="atLeast"/>
              <w:jc w:val="left"/>
              <w:rPr>
                <w:rFonts w:ascii="仿宋_GB2312" w:eastAsia="仿宋_GB2312"/>
                <w:kern w:val="0"/>
                <w:sz w:val="13"/>
                <w:szCs w:val="13"/>
              </w:rPr>
            </w:pPr>
          </w:p>
        </w:tc>
        <w:tc>
          <w:tcPr>
            <w:tcW w:w="2152" w:type="dxa"/>
            <w:gridSpan w:val="2"/>
            <w:tcBorders>
              <w:top w:val="nil"/>
              <w:left w:val="nil"/>
              <w:bottom w:val="single" w:color="auto" w:sz="4" w:space="0"/>
              <w:right w:val="single" w:color="auto" w:sz="4" w:space="0"/>
            </w:tcBorders>
            <w:vAlign w:val="bottom"/>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小    计</w:t>
            </w:r>
          </w:p>
        </w:tc>
        <w:tc>
          <w:tcPr>
            <w:tcW w:w="643"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112/208</w:t>
            </w:r>
          </w:p>
        </w:tc>
        <w:tc>
          <w:tcPr>
            <w:tcW w:w="476"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112/</w:t>
            </w:r>
            <w:r>
              <w:rPr>
                <w:rFonts w:eastAsia="仿宋_GB2312"/>
                <w:kern w:val="0"/>
                <w:sz w:val="13"/>
                <w:szCs w:val="13"/>
              </w:rPr>
              <w:t>208</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70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1</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eastAsia="仿宋_GB2312"/>
                <w:kern w:val="0"/>
                <w:sz w:val="13"/>
                <w:szCs w:val="13"/>
              </w:rPr>
              <w:t>4</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7/13</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vMerge w:val="continue"/>
            <w:tcBorders>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p>
        </w:tc>
      </w:tr>
      <w:tr>
        <w:tblPrEx>
          <w:tblLayout w:type="fixed"/>
          <w:tblCellMar>
            <w:top w:w="0" w:type="dxa"/>
            <w:left w:w="108" w:type="dxa"/>
            <w:bottom w:w="0" w:type="dxa"/>
            <w:right w:w="108" w:type="dxa"/>
          </w:tblCellMar>
        </w:tblPrEx>
        <w:trPr>
          <w:cantSplit/>
          <w:trHeight w:val="433" w:hRule="atLeast"/>
          <w:jc w:val="center"/>
        </w:trPr>
        <w:tc>
          <w:tcPr>
            <w:tcW w:w="2847" w:type="dxa"/>
            <w:gridSpan w:val="4"/>
            <w:tcBorders>
              <w:top w:val="single" w:color="auto" w:sz="4" w:space="0"/>
              <w:left w:val="single" w:color="auto" w:sz="12" w:space="0"/>
              <w:bottom w:val="single" w:color="auto" w:sz="4" w:space="0"/>
              <w:right w:val="single" w:color="auto" w:sz="4" w:space="0"/>
            </w:tcBorders>
            <w:shd w:val="clear" w:color="auto" w:fill="auto"/>
            <w:tcMar>
              <w:left w:w="0" w:type="dxa"/>
              <w:right w:w="0" w:type="dxa"/>
            </w:tcMar>
            <w:vAlign w:val="center"/>
          </w:tcPr>
          <w:p>
            <w:pPr>
              <w:widowControl/>
              <w:snapToGrid w:val="0"/>
              <w:spacing w:line="0" w:lineRule="atLeast"/>
              <w:jc w:val="center"/>
              <w:rPr>
                <w:rFonts w:ascii="仿宋_GB2312" w:eastAsia="仿宋_GB2312"/>
                <w:kern w:val="0"/>
                <w:sz w:val="13"/>
                <w:szCs w:val="13"/>
              </w:rPr>
            </w:pPr>
            <w:r>
              <w:rPr>
                <w:rFonts w:ascii="仿宋_GB2312" w:eastAsia="仿宋_GB2312"/>
                <w:kern w:val="0"/>
                <w:sz w:val="13"/>
                <w:szCs w:val="13"/>
              </w:rPr>
              <w:t>建议每学期课堂教学周学时及课内总学时</w:t>
            </w:r>
          </w:p>
        </w:tc>
        <w:tc>
          <w:tcPr>
            <w:tcW w:w="643"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3007</w:t>
            </w:r>
          </w:p>
        </w:tc>
        <w:tc>
          <w:tcPr>
            <w:tcW w:w="47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1963</w:t>
            </w:r>
          </w:p>
        </w:tc>
        <w:tc>
          <w:tcPr>
            <w:tcW w:w="41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218</w:t>
            </w:r>
          </w:p>
        </w:tc>
        <w:tc>
          <w:tcPr>
            <w:tcW w:w="701" w:type="dxa"/>
            <w:tcBorders>
              <w:top w:val="nil"/>
              <w:left w:val="nil"/>
              <w:bottom w:val="single" w:color="auto" w:sz="4" w:space="0"/>
              <w:right w:val="single" w:color="auto" w:sz="4" w:space="0"/>
            </w:tcBorders>
            <w:tcMar>
              <w:left w:w="0" w:type="dxa"/>
              <w:right w:w="0" w:type="dxa"/>
            </w:tcMar>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826</w:t>
            </w:r>
          </w:p>
        </w:tc>
        <w:tc>
          <w:tcPr>
            <w:tcW w:w="390"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25</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23</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24</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22</w:t>
            </w:r>
          </w:p>
        </w:tc>
        <w:tc>
          <w:tcPr>
            <w:tcW w:w="426"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22</w:t>
            </w:r>
          </w:p>
        </w:tc>
        <w:tc>
          <w:tcPr>
            <w:tcW w:w="361" w:type="dxa"/>
            <w:tcBorders>
              <w:top w:val="nil"/>
              <w:left w:val="nil"/>
              <w:bottom w:val="single" w:color="auto" w:sz="4" w:space="0"/>
              <w:right w:val="single" w:color="auto" w:sz="4" w:space="0"/>
            </w:tcBorders>
            <w:vAlign w:val="center"/>
          </w:tcPr>
          <w:p>
            <w:pPr>
              <w:widowControl/>
              <w:snapToGrid w:val="0"/>
              <w:spacing w:line="0" w:lineRule="atLeast"/>
              <w:jc w:val="center"/>
              <w:rPr>
                <w:rFonts w:eastAsia="仿宋_GB2312"/>
                <w:kern w:val="0"/>
                <w:sz w:val="13"/>
                <w:szCs w:val="13"/>
              </w:rPr>
            </w:pPr>
            <w:r>
              <w:rPr>
                <w:rFonts w:hint="eastAsia" w:eastAsia="仿宋_GB2312"/>
                <w:kern w:val="0"/>
                <w:sz w:val="13"/>
                <w:szCs w:val="13"/>
              </w:rPr>
              <w:t>6</w:t>
            </w:r>
          </w:p>
        </w:tc>
        <w:tc>
          <w:tcPr>
            <w:tcW w:w="46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0</w:t>
            </w:r>
          </w:p>
        </w:tc>
        <w:tc>
          <w:tcPr>
            <w:tcW w:w="542" w:type="dxa"/>
            <w:tcBorders>
              <w:top w:val="nil"/>
              <w:left w:val="nil"/>
              <w:bottom w:val="single" w:color="auto" w:sz="4" w:space="0"/>
              <w:right w:val="single" w:color="auto" w:sz="4" w:space="0"/>
            </w:tcBorders>
            <w:vAlign w:val="center"/>
          </w:tcPr>
          <w:p>
            <w:pPr>
              <w:widowControl/>
              <w:snapToGrid w:val="0"/>
              <w:spacing w:line="0" w:lineRule="atLeast"/>
              <w:jc w:val="center"/>
              <w:rPr>
                <w:rFonts w:ascii="仿宋_GB2312" w:eastAsia="仿宋_GB2312"/>
                <w:kern w:val="0"/>
                <w:sz w:val="13"/>
                <w:szCs w:val="13"/>
              </w:rPr>
            </w:pPr>
            <w:r>
              <w:rPr>
                <w:rFonts w:hint="eastAsia" w:ascii="仿宋_GB2312" w:eastAsia="仿宋_GB2312"/>
                <w:kern w:val="0"/>
                <w:sz w:val="13"/>
                <w:szCs w:val="13"/>
              </w:rPr>
              <w:t>169</w:t>
            </w:r>
          </w:p>
        </w:tc>
        <w:tc>
          <w:tcPr>
            <w:tcW w:w="451"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rFonts w:ascii="仿宋_GB2312" w:eastAsia="仿宋_GB2312"/>
                <w:kern w:val="0"/>
                <w:sz w:val="13"/>
                <w:szCs w:val="13"/>
              </w:rPr>
            </w:pPr>
          </w:p>
        </w:tc>
        <w:tc>
          <w:tcPr>
            <w:tcW w:w="567"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仿宋_GB2312" w:eastAsia="仿宋_GB2312"/>
                <w:kern w:val="0"/>
                <w:sz w:val="10"/>
                <w:szCs w:val="10"/>
              </w:rPr>
            </w:pPr>
            <w:r>
              <w:rPr>
                <w:rFonts w:hint="eastAsia"/>
                <w:color w:val="000000"/>
                <w:kern w:val="0"/>
                <w:sz w:val="13"/>
                <w:szCs w:val="13"/>
              </w:rPr>
              <w:t xml:space="preserve">  </w:t>
            </w:r>
          </w:p>
        </w:tc>
      </w:tr>
    </w:tbl>
    <w:p>
      <w:pPr>
        <w:ind w:leftChars="-202" w:hanging="424" w:hangingChars="202"/>
        <w:rPr>
          <w:rFonts w:ascii="仿宋_GB2312" w:eastAsia="仿宋_GB2312"/>
        </w:rPr>
      </w:pPr>
      <w:r>
        <w:rPr>
          <w:rFonts w:hint="eastAsia" w:ascii="仿宋_GB2312" w:eastAsia="仿宋_GB2312"/>
        </w:rPr>
        <w:t>制定人：杜树新                                                        审定人：李祖欣</w:t>
      </w:r>
    </w:p>
    <w:p>
      <w:pPr>
        <w:adjustRightInd w:val="0"/>
        <w:snapToGrid w:val="0"/>
        <w:spacing w:line="360" w:lineRule="auto"/>
        <w:rPr>
          <w:rFonts w:ascii="仿宋_GB2312" w:eastAsia="仿宋_GB2312"/>
        </w:rPr>
      </w:pPr>
      <w:bookmarkStart w:id="2" w:name="_GoBack"/>
      <w:bookmarkEnd w:id="2"/>
      <w:r>
        <w:rPr>
          <w:rFonts w:hint="eastAsia" w:ascii="仿宋_GB2312" w:eastAsia="仿宋_GB2312"/>
        </w:rPr>
        <w:t>注：课程前面标注</w:t>
      </w:r>
      <w:r>
        <w:rPr>
          <w:rFonts w:hint="eastAsia" w:ascii="仿宋_GB2312" w:eastAsia="仿宋_GB2312"/>
          <w:kern w:val="0"/>
          <w:sz w:val="24"/>
        </w:rPr>
        <w:sym w:font="Symbol" w:char="F044"/>
      </w:r>
      <w:r>
        <w:rPr>
          <w:rFonts w:hint="eastAsia" w:ascii="仿宋_GB2312" w:eastAsia="仿宋_GB2312"/>
        </w:rPr>
        <w:t>为学位课程</w:t>
      </w:r>
    </w:p>
    <w:p>
      <w:pPr>
        <w:adjustRightInd w:val="0"/>
        <w:snapToGrid w:val="0"/>
        <w:spacing w:line="360" w:lineRule="auto"/>
        <w:rPr>
          <w:rFonts w:ascii="宋体" w:hAnsi="宋体" w:cs="宋体"/>
          <w:b/>
          <w:color w:val="000000" w:themeColor="text1"/>
          <w:kern w:val="0"/>
          <w:szCs w:val="21"/>
          <w14:textFill>
            <w14:solidFill>
              <w14:schemeClr w14:val="tx1"/>
            </w14:solidFill>
          </w14:textFill>
        </w:rPr>
      </w:pPr>
    </w:p>
    <w:p>
      <w:pPr>
        <w:adjustRightInd w:val="0"/>
        <w:snapToGrid w:val="0"/>
        <w:spacing w:line="360" w:lineRule="auto"/>
        <w:rPr>
          <w:rFonts w:ascii="宋体" w:hAnsi="宋体" w:cs="宋体"/>
          <w:b/>
          <w:color w:val="000000" w:themeColor="text1"/>
          <w:kern w:val="0"/>
          <w:szCs w:val="21"/>
          <w14:textFill>
            <w14:solidFill>
              <w14:schemeClr w14:val="tx1"/>
            </w14:solidFill>
          </w14:textFill>
        </w:rPr>
      </w:pPr>
    </w:p>
    <w:p>
      <w:pPr>
        <w:adjustRightInd w:val="0"/>
        <w:snapToGrid w:val="0"/>
        <w:spacing w:line="360" w:lineRule="auto"/>
        <w:rPr>
          <w:rFonts w:ascii="宋体" w:hAnsi="宋体" w:cs="宋体"/>
          <w:b/>
          <w:color w:val="000000" w:themeColor="text1"/>
          <w:kern w:val="0"/>
          <w:szCs w:val="21"/>
          <w14:textFill>
            <w14:solidFill>
              <w14:schemeClr w14:val="tx1"/>
            </w14:solidFill>
          </w14:textFill>
        </w:rPr>
      </w:pPr>
    </w:p>
    <w:p>
      <w:pPr>
        <w:adjustRightInd w:val="0"/>
        <w:snapToGrid w:val="0"/>
        <w:spacing w:line="360" w:lineRule="auto"/>
        <w:rPr>
          <w:rFonts w:ascii="宋体" w:hAnsi="宋体" w:cs="宋体"/>
          <w:b/>
          <w:color w:val="000000" w:themeColor="text1"/>
          <w:kern w:val="0"/>
          <w:szCs w:val="21"/>
          <w14:textFill>
            <w14:solidFill>
              <w14:schemeClr w14:val="tx1"/>
            </w14:solidFill>
          </w14:textFill>
        </w:rPr>
      </w:pPr>
    </w:p>
    <w:p>
      <w:pPr>
        <w:adjustRightInd w:val="0"/>
        <w:snapToGrid w:val="0"/>
        <w:spacing w:line="360" w:lineRule="auto"/>
        <w:rPr>
          <w:rFonts w:ascii="宋体" w:hAnsi="宋体" w:cs="宋体"/>
          <w:b/>
          <w:color w:val="000000" w:themeColor="text1"/>
          <w:kern w:val="0"/>
          <w:szCs w:val="21"/>
          <w14:textFill>
            <w14:solidFill>
              <w14:schemeClr w14:val="tx1"/>
            </w14:solidFill>
          </w14:textFill>
        </w:rPr>
      </w:pPr>
    </w:p>
    <w:p>
      <w:pPr>
        <w:adjustRightInd w:val="0"/>
        <w:snapToGrid w:val="0"/>
        <w:spacing w:line="360" w:lineRule="auto"/>
        <w:rPr>
          <w:rFonts w:ascii="宋体" w:hAnsi="宋体" w:cs="宋体"/>
          <w:b/>
          <w:color w:val="000000" w:themeColor="text1"/>
          <w:kern w:val="0"/>
          <w:szCs w:val="21"/>
          <w14:textFill>
            <w14:solidFill>
              <w14:schemeClr w14:val="tx1"/>
            </w14:solidFill>
          </w14:textFill>
        </w:rPr>
      </w:pPr>
    </w:p>
    <w:p>
      <w:pPr>
        <w:adjustRightInd w:val="0"/>
        <w:snapToGrid w:val="0"/>
        <w:spacing w:line="360" w:lineRule="auto"/>
        <w:rPr>
          <w:rFonts w:ascii="仿宋_GB2312" w:eastAsia="仿宋_GB2312"/>
        </w:rPr>
      </w:pPr>
      <w:r>
        <w:rPr>
          <w:rFonts w:hint="eastAsia" w:ascii="宋体" w:hAnsi="宋体" w:cs="宋体"/>
          <w:b/>
          <w:color w:val="000000" w:themeColor="text1"/>
          <w:kern w:val="0"/>
          <w:szCs w:val="21"/>
          <w14:textFill>
            <w14:solidFill>
              <w14:schemeClr w14:val="tx1"/>
            </w14:solidFill>
          </w14:textFill>
        </w:rPr>
        <w:t>课程设置说明：</w:t>
      </w:r>
    </w:p>
    <w:p>
      <w:pPr>
        <w:widowControl/>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1.课程设置分为必修课和选修课两类。必修课包括通识必修课、专业主干课和实践性课程；选修课包括专业选修课（含专业限选课、专业任选课）和通识选修课、综合素养课。</w:t>
      </w:r>
    </w:p>
    <w:p>
      <w:pPr>
        <w:spacing w:line="300" w:lineRule="exact"/>
        <w:ind w:firstLine="640" w:firstLineChars="200"/>
        <w:rPr>
          <w:rFonts w:ascii="仿宋_GB2312" w:hAnsi="宋体" w:eastAsia="仿宋_GB2312"/>
          <w:sz w:val="32"/>
          <w:szCs w:val="32"/>
        </w:rPr>
      </w:pPr>
    </w:p>
    <w:tbl>
      <w:tblPr>
        <w:tblStyle w:val="15"/>
        <w:tblW w:w="8359" w:type="dxa"/>
        <w:jc w:val="center"/>
        <w:tblInd w:w="41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068"/>
        <w:gridCol w:w="1914"/>
        <w:gridCol w:w="43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restart"/>
            <w:vAlign w:val="center"/>
          </w:tcPr>
          <w:p>
            <w:pPr>
              <w:spacing w:line="360" w:lineRule="exact"/>
              <w:ind w:firstLine="180" w:firstLineChars="100"/>
              <w:rPr>
                <w:rFonts w:ascii="仿宋_GB2312" w:eastAsia="仿宋_GB2312"/>
                <w:sz w:val="18"/>
                <w:szCs w:val="18"/>
              </w:rPr>
            </w:pPr>
            <w:r>
              <w:rPr>
                <w:rFonts w:hint="eastAsia" w:ascii="仿宋_GB2312" w:eastAsia="仿宋_GB2312"/>
                <w:sz w:val="18"/>
                <w:szCs w:val="18"/>
              </w:rPr>
              <w:t>课</w:t>
            </w:r>
          </w:p>
          <w:p>
            <w:pPr>
              <w:spacing w:line="360" w:lineRule="exact"/>
              <w:jc w:val="center"/>
              <w:rPr>
                <w:rFonts w:ascii="仿宋_GB2312" w:eastAsia="仿宋_GB2312"/>
                <w:sz w:val="18"/>
                <w:szCs w:val="18"/>
              </w:rPr>
            </w:pPr>
          </w:p>
          <w:p>
            <w:pPr>
              <w:spacing w:line="360" w:lineRule="exact"/>
              <w:jc w:val="center"/>
              <w:rPr>
                <w:rFonts w:ascii="仿宋_GB2312" w:eastAsia="仿宋_GB2312"/>
                <w:sz w:val="18"/>
                <w:szCs w:val="18"/>
              </w:rPr>
            </w:pPr>
          </w:p>
          <w:p>
            <w:pPr>
              <w:spacing w:line="360" w:lineRule="exact"/>
              <w:ind w:firstLine="180" w:firstLineChars="100"/>
              <w:rPr>
                <w:rFonts w:ascii="仿宋_GB2312" w:eastAsia="仿宋_GB2312"/>
                <w:sz w:val="18"/>
                <w:szCs w:val="18"/>
              </w:rPr>
            </w:pPr>
            <w:r>
              <w:rPr>
                <w:rFonts w:hint="eastAsia" w:ascii="仿宋_GB2312" w:eastAsia="仿宋_GB2312"/>
                <w:sz w:val="18"/>
                <w:szCs w:val="18"/>
              </w:rPr>
              <w:t>程</w:t>
            </w:r>
          </w:p>
        </w:tc>
        <w:tc>
          <w:tcPr>
            <w:tcW w:w="1068" w:type="dxa"/>
            <w:vMerge w:val="restart"/>
            <w:vAlign w:val="center"/>
          </w:tcPr>
          <w:p>
            <w:pPr>
              <w:spacing w:line="360" w:lineRule="exact"/>
              <w:jc w:val="center"/>
              <w:rPr>
                <w:rFonts w:ascii="仿宋_GB2312" w:eastAsia="仿宋_GB2312"/>
                <w:sz w:val="18"/>
                <w:szCs w:val="18"/>
              </w:rPr>
            </w:pPr>
          </w:p>
          <w:p>
            <w:pPr>
              <w:spacing w:line="360" w:lineRule="exact"/>
              <w:jc w:val="center"/>
              <w:rPr>
                <w:rFonts w:ascii="仿宋_GB2312" w:eastAsia="仿宋_GB2312"/>
                <w:sz w:val="18"/>
                <w:szCs w:val="18"/>
              </w:rPr>
            </w:pPr>
          </w:p>
          <w:p>
            <w:pPr>
              <w:spacing w:line="360" w:lineRule="exact"/>
              <w:jc w:val="center"/>
              <w:rPr>
                <w:rFonts w:ascii="仿宋_GB2312" w:eastAsia="仿宋_GB2312"/>
                <w:sz w:val="18"/>
                <w:szCs w:val="18"/>
              </w:rPr>
            </w:pPr>
            <w:r>
              <w:rPr>
                <w:rFonts w:hint="eastAsia" w:ascii="仿宋_GB2312" w:eastAsia="仿宋_GB2312"/>
                <w:sz w:val="18"/>
                <w:szCs w:val="18"/>
              </w:rPr>
              <w:t>必</w:t>
            </w:r>
          </w:p>
          <w:p>
            <w:pPr>
              <w:spacing w:line="360" w:lineRule="exact"/>
              <w:jc w:val="center"/>
              <w:rPr>
                <w:rFonts w:ascii="仿宋_GB2312" w:eastAsia="仿宋_GB2312"/>
                <w:sz w:val="18"/>
                <w:szCs w:val="18"/>
              </w:rPr>
            </w:pPr>
          </w:p>
          <w:p>
            <w:pPr>
              <w:spacing w:line="360" w:lineRule="exact"/>
              <w:jc w:val="center"/>
              <w:rPr>
                <w:rFonts w:ascii="仿宋_GB2312" w:eastAsia="仿宋_GB2312"/>
                <w:sz w:val="18"/>
                <w:szCs w:val="18"/>
              </w:rPr>
            </w:pPr>
            <w:r>
              <w:rPr>
                <w:rFonts w:hint="eastAsia" w:ascii="仿宋_GB2312" w:eastAsia="仿宋_GB2312"/>
                <w:sz w:val="18"/>
                <w:szCs w:val="18"/>
              </w:rPr>
              <w:t>修</w:t>
            </w:r>
          </w:p>
          <w:p>
            <w:pPr>
              <w:spacing w:line="360" w:lineRule="exact"/>
              <w:jc w:val="center"/>
              <w:rPr>
                <w:rFonts w:ascii="仿宋_GB2312" w:eastAsia="仿宋_GB2312"/>
                <w:sz w:val="18"/>
                <w:szCs w:val="18"/>
              </w:rPr>
            </w:pPr>
          </w:p>
          <w:p>
            <w:pPr>
              <w:spacing w:line="360" w:lineRule="exact"/>
              <w:jc w:val="center"/>
              <w:rPr>
                <w:rFonts w:ascii="仿宋_GB2312" w:eastAsia="仿宋_GB2312"/>
                <w:sz w:val="18"/>
                <w:szCs w:val="18"/>
              </w:rPr>
            </w:pPr>
            <w:r>
              <w:rPr>
                <w:rFonts w:hint="eastAsia" w:ascii="仿宋_GB2312" w:eastAsia="仿宋_GB2312"/>
                <w:sz w:val="18"/>
                <w:szCs w:val="18"/>
              </w:rPr>
              <w:t>课</w:t>
            </w:r>
          </w:p>
        </w:tc>
        <w:tc>
          <w:tcPr>
            <w:tcW w:w="6295" w:type="dxa"/>
            <w:gridSpan w:val="2"/>
            <w:vAlign w:val="center"/>
          </w:tcPr>
          <w:p>
            <w:pPr>
              <w:spacing w:line="360" w:lineRule="exact"/>
              <w:jc w:val="center"/>
              <w:rPr>
                <w:rFonts w:ascii="仿宋_GB2312" w:eastAsia="仿宋_GB2312"/>
                <w:sz w:val="18"/>
                <w:szCs w:val="18"/>
              </w:rPr>
            </w:pPr>
            <w:r>
              <w:rPr>
                <w:rFonts w:hint="eastAsia" w:ascii="仿宋_GB2312" w:eastAsia="仿宋_GB2312"/>
                <w:sz w:val="18"/>
                <w:szCs w:val="18"/>
              </w:rPr>
              <w:t>通识必修课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6295" w:type="dxa"/>
            <w:gridSpan w:val="2"/>
            <w:vAlign w:val="center"/>
          </w:tcPr>
          <w:p>
            <w:pPr>
              <w:spacing w:line="360" w:lineRule="exact"/>
              <w:jc w:val="center"/>
              <w:rPr>
                <w:rFonts w:ascii="仿宋_GB2312" w:eastAsia="仿宋_GB2312"/>
                <w:sz w:val="18"/>
                <w:szCs w:val="18"/>
              </w:rPr>
            </w:pPr>
            <w:r>
              <w:rPr>
                <w:rFonts w:ascii="仿宋_GB2312" w:eastAsia="仿宋_GB2312"/>
                <w:sz w:val="18"/>
                <w:szCs w:val="18"/>
              </w:rPr>
              <w:t>专业基础课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6295" w:type="dxa"/>
            <w:gridSpan w:val="2"/>
            <w:vAlign w:val="center"/>
          </w:tcPr>
          <w:p>
            <w:pPr>
              <w:spacing w:line="360" w:lineRule="exact"/>
              <w:jc w:val="center"/>
              <w:rPr>
                <w:rFonts w:ascii="仿宋_GB2312" w:eastAsia="仿宋_GB2312"/>
                <w:sz w:val="18"/>
                <w:szCs w:val="18"/>
              </w:rPr>
            </w:pPr>
            <w:r>
              <w:rPr>
                <w:rFonts w:hint="eastAsia" w:ascii="仿宋_GB2312" w:eastAsia="仿宋_GB2312"/>
                <w:sz w:val="18"/>
                <w:szCs w:val="18"/>
              </w:rPr>
              <w:t>专业主干课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92"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1914" w:type="dxa"/>
            <w:vMerge w:val="restart"/>
            <w:vAlign w:val="center"/>
          </w:tcPr>
          <w:p>
            <w:pPr>
              <w:spacing w:line="360" w:lineRule="exact"/>
              <w:ind w:firstLine="90" w:firstLineChars="50"/>
              <w:rPr>
                <w:rFonts w:ascii="仿宋_GB2312" w:eastAsia="仿宋_GB2312"/>
                <w:sz w:val="18"/>
                <w:szCs w:val="18"/>
              </w:rPr>
            </w:pPr>
            <w:r>
              <w:rPr>
                <w:rFonts w:hint="eastAsia" w:ascii="仿宋_GB2312" w:eastAsia="仿宋_GB2312"/>
                <w:sz w:val="18"/>
                <w:szCs w:val="18"/>
              </w:rPr>
              <w:t>实践性课程</w:t>
            </w:r>
          </w:p>
        </w:tc>
        <w:tc>
          <w:tcPr>
            <w:tcW w:w="438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读书报告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1914" w:type="dxa"/>
            <w:vMerge w:val="continue"/>
            <w:vAlign w:val="center"/>
          </w:tcPr>
          <w:p>
            <w:pPr>
              <w:spacing w:line="360" w:lineRule="exact"/>
              <w:jc w:val="center"/>
              <w:rPr>
                <w:rFonts w:ascii="仿宋_GB2312" w:eastAsia="仿宋_GB2312"/>
                <w:sz w:val="18"/>
                <w:szCs w:val="18"/>
              </w:rPr>
            </w:pPr>
          </w:p>
        </w:tc>
        <w:tc>
          <w:tcPr>
            <w:tcW w:w="438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课程设计</w:t>
            </w:r>
            <w:r>
              <w:rPr>
                <w:rFonts w:hint="eastAsia" w:ascii="宋体" w:hAnsi="宋体" w:cs="宋体"/>
                <w:sz w:val="18"/>
                <w:szCs w:val="18"/>
              </w:rPr>
              <w:t>﹙</w:t>
            </w:r>
            <w:r>
              <w:rPr>
                <w:rFonts w:hint="eastAsia" w:ascii="仿宋_GB2312" w:eastAsia="仿宋_GB2312"/>
                <w:sz w:val="18"/>
                <w:szCs w:val="18"/>
              </w:rPr>
              <w:t>或实验设计</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1914" w:type="dxa"/>
            <w:vMerge w:val="continue"/>
            <w:vAlign w:val="center"/>
          </w:tcPr>
          <w:p>
            <w:pPr>
              <w:spacing w:line="360" w:lineRule="exact"/>
              <w:jc w:val="center"/>
              <w:rPr>
                <w:rFonts w:ascii="仿宋_GB2312" w:eastAsia="仿宋_GB2312"/>
                <w:sz w:val="18"/>
                <w:szCs w:val="18"/>
              </w:rPr>
            </w:pPr>
          </w:p>
        </w:tc>
        <w:tc>
          <w:tcPr>
            <w:tcW w:w="438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学年论文</w:t>
            </w:r>
            <w:r>
              <w:rPr>
                <w:rFonts w:hint="eastAsia" w:ascii="宋体" w:hAnsi="宋体" w:cs="宋体"/>
                <w:sz w:val="18"/>
                <w:szCs w:val="18"/>
              </w:rPr>
              <w:t>﹙</w:t>
            </w:r>
            <w:r>
              <w:rPr>
                <w:rFonts w:hint="eastAsia" w:ascii="仿宋_GB2312" w:eastAsia="仿宋_GB2312"/>
                <w:sz w:val="18"/>
                <w:szCs w:val="18"/>
              </w:rPr>
              <w:t>或学年项目设计</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1914" w:type="dxa"/>
            <w:vMerge w:val="continue"/>
            <w:vAlign w:val="center"/>
          </w:tcPr>
          <w:p>
            <w:pPr>
              <w:spacing w:line="360" w:lineRule="exact"/>
              <w:jc w:val="center"/>
              <w:rPr>
                <w:rFonts w:ascii="仿宋_GB2312" w:eastAsia="仿宋_GB2312"/>
                <w:sz w:val="18"/>
                <w:szCs w:val="18"/>
              </w:rPr>
            </w:pPr>
          </w:p>
        </w:tc>
        <w:tc>
          <w:tcPr>
            <w:tcW w:w="438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毕业设计</w:t>
            </w:r>
            <w:r>
              <w:rPr>
                <w:rFonts w:hint="eastAsia" w:ascii="宋体" w:hAnsi="宋体" w:cs="宋体"/>
                <w:sz w:val="18"/>
                <w:szCs w:val="18"/>
              </w:rPr>
              <w:t>﹙</w:t>
            </w:r>
            <w:r>
              <w:rPr>
                <w:rFonts w:hint="eastAsia" w:ascii="仿宋_GB2312" w:eastAsia="仿宋_GB2312"/>
                <w:sz w:val="18"/>
                <w:szCs w:val="18"/>
              </w:rPr>
              <w:t>或毕业论文</w:t>
            </w: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1914" w:type="dxa"/>
            <w:vMerge w:val="continue"/>
            <w:vAlign w:val="center"/>
          </w:tcPr>
          <w:p>
            <w:pPr>
              <w:spacing w:line="360" w:lineRule="exact"/>
              <w:jc w:val="center"/>
              <w:rPr>
                <w:rFonts w:ascii="仿宋_GB2312" w:eastAsia="仿宋_GB2312"/>
                <w:sz w:val="18"/>
                <w:szCs w:val="18"/>
              </w:rPr>
            </w:pPr>
          </w:p>
        </w:tc>
        <w:tc>
          <w:tcPr>
            <w:tcW w:w="438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专业见习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1914" w:type="dxa"/>
            <w:vMerge w:val="continue"/>
            <w:vAlign w:val="center"/>
          </w:tcPr>
          <w:p>
            <w:pPr>
              <w:spacing w:line="360" w:lineRule="exact"/>
              <w:jc w:val="center"/>
              <w:rPr>
                <w:rFonts w:ascii="仿宋_GB2312" w:eastAsia="仿宋_GB2312"/>
                <w:sz w:val="18"/>
                <w:szCs w:val="18"/>
              </w:rPr>
            </w:pPr>
          </w:p>
        </w:tc>
        <w:tc>
          <w:tcPr>
            <w:tcW w:w="438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专业实习等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restart"/>
            <w:vAlign w:val="center"/>
          </w:tcPr>
          <w:p>
            <w:pPr>
              <w:spacing w:line="360" w:lineRule="exact"/>
              <w:jc w:val="center"/>
              <w:rPr>
                <w:rFonts w:ascii="仿宋_GB2312" w:eastAsia="仿宋_GB2312"/>
                <w:sz w:val="18"/>
                <w:szCs w:val="18"/>
              </w:rPr>
            </w:pPr>
            <w:r>
              <w:rPr>
                <w:rFonts w:hint="eastAsia" w:ascii="仿宋_GB2312" w:eastAsia="仿宋_GB2312"/>
                <w:sz w:val="18"/>
                <w:szCs w:val="18"/>
              </w:rPr>
              <w:t>选修课</w:t>
            </w:r>
          </w:p>
        </w:tc>
        <w:tc>
          <w:tcPr>
            <w:tcW w:w="6295" w:type="dxa"/>
            <w:gridSpan w:val="2"/>
            <w:vAlign w:val="center"/>
          </w:tcPr>
          <w:p>
            <w:pPr>
              <w:spacing w:line="360" w:lineRule="exact"/>
              <w:jc w:val="center"/>
              <w:rPr>
                <w:rFonts w:ascii="仿宋_GB2312" w:eastAsia="仿宋_GB2312"/>
                <w:sz w:val="18"/>
                <w:szCs w:val="18"/>
              </w:rPr>
            </w:pPr>
            <w:r>
              <w:rPr>
                <w:rFonts w:hint="eastAsia" w:ascii="仿宋_GB2312" w:eastAsia="仿宋_GB2312"/>
                <w:sz w:val="18"/>
                <w:szCs w:val="18"/>
              </w:rPr>
              <w:t>专业选修课（含专业限选课、专业任选课）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6295" w:type="dxa"/>
            <w:gridSpan w:val="2"/>
            <w:vAlign w:val="center"/>
          </w:tcPr>
          <w:p>
            <w:pPr>
              <w:spacing w:line="360" w:lineRule="exact"/>
              <w:jc w:val="center"/>
              <w:rPr>
                <w:rFonts w:ascii="仿宋_GB2312" w:eastAsia="仿宋_GB2312"/>
                <w:sz w:val="18"/>
                <w:szCs w:val="18"/>
              </w:rPr>
            </w:pPr>
            <w:r>
              <w:rPr>
                <w:rFonts w:hint="eastAsia" w:ascii="仿宋_GB2312" w:eastAsia="仿宋_GB2312"/>
                <w:sz w:val="18"/>
                <w:szCs w:val="18"/>
              </w:rPr>
              <w:t xml:space="preserve">通识选修课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rFonts w:ascii="仿宋_GB2312" w:eastAsia="仿宋_GB2312"/>
                <w:sz w:val="18"/>
                <w:szCs w:val="18"/>
              </w:rPr>
            </w:pPr>
          </w:p>
        </w:tc>
        <w:tc>
          <w:tcPr>
            <w:tcW w:w="1068" w:type="dxa"/>
            <w:vMerge w:val="continue"/>
          </w:tcPr>
          <w:p>
            <w:pPr>
              <w:spacing w:line="360" w:lineRule="exact"/>
              <w:jc w:val="center"/>
              <w:rPr>
                <w:rFonts w:ascii="仿宋_GB2312" w:eastAsia="仿宋_GB2312"/>
                <w:sz w:val="18"/>
                <w:szCs w:val="18"/>
              </w:rPr>
            </w:pPr>
          </w:p>
        </w:tc>
        <w:tc>
          <w:tcPr>
            <w:tcW w:w="6295" w:type="dxa"/>
            <w:gridSpan w:val="2"/>
            <w:vAlign w:val="center"/>
          </w:tcPr>
          <w:p>
            <w:pPr>
              <w:spacing w:line="360" w:lineRule="exact"/>
              <w:jc w:val="center"/>
              <w:rPr>
                <w:rFonts w:ascii="仿宋_GB2312" w:eastAsia="仿宋_GB2312"/>
                <w:sz w:val="18"/>
                <w:szCs w:val="18"/>
              </w:rPr>
            </w:pPr>
            <w:r>
              <w:rPr>
                <w:rFonts w:hint="eastAsia" w:ascii="仿宋_GB2312" w:eastAsia="仿宋_GB2312"/>
                <w:sz w:val="18"/>
                <w:szCs w:val="18"/>
              </w:rPr>
              <w:t>综合素养课</w:t>
            </w:r>
          </w:p>
        </w:tc>
      </w:tr>
    </w:tbl>
    <w:p>
      <w:pPr>
        <w:widowControl/>
        <w:rPr>
          <w:rFonts w:ascii="宋体" w:hAnsi="宋体" w:cs="宋体"/>
          <w:color w:val="000000" w:themeColor="text1"/>
          <w:kern w:val="0"/>
          <w:szCs w:val="21"/>
          <w14:textFill>
            <w14:solidFill>
              <w14:schemeClr w14:val="tx1"/>
            </w14:solidFill>
          </w14:textFill>
        </w:rPr>
      </w:pP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b/>
          <w:color w:val="000000" w:themeColor="text1"/>
          <w:kern w:val="0"/>
          <w:szCs w:val="21"/>
          <w14:textFill>
            <w14:solidFill>
              <w14:schemeClr w14:val="tx1"/>
            </w14:solidFill>
          </w14:textFill>
        </w:rPr>
        <w:t>通识必修课：</w:t>
      </w:r>
      <w:r>
        <w:rPr>
          <w:rFonts w:hint="eastAsia" w:ascii="宋体" w:hAnsi="宋体" w:cs="宋体"/>
          <w:color w:val="000000" w:themeColor="text1"/>
          <w:kern w:val="0"/>
          <w:szCs w:val="21"/>
          <w14:textFill>
            <w14:solidFill>
              <w14:schemeClr w14:val="tx1"/>
            </w14:solidFill>
          </w14:textFill>
        </w:rPr>
        <w:t>学生都必须掌握的基础理论、基本技能方面的课程。通识必修课包括大学英语、高等数学、大学物理、公共计算机等，采用“按类、分层次”教学，实施教考分离。</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b/>
          <w:color w:val="000000" w:themeColor="text1"/>
          <w:kern w:val="0"/>
          <w:szCs w:val="21"/>
          <w14:textFill>
            <w14:solidFill>
              <w14:schemeClr w14:val="tx1"/>
            </w14:solidFill>
          </w14:textFill>
        </w:rPr>
        <w:t>专业基础课：</w:t>
      </w:r>
      <w:r>
        <w:rPr>
          <w:rFonts w:hint="eastAsia" w:ascii="宋体" w:hAnsi="宋体" w:cs="宋体"/>
          <w:color w:val="000000" w:themeColor="text1"/>
          <w:kern w:val="0"/>
          <w:szCs w:val="21"/>
          <w14:textFill>
            <w14:solidFill>
              <w14:schemeClr w14:val="tx1"/>
            </w14:solidFill>
          </w14:textFill>
        </w:rPr>
        <w:t>各学科大类结合本类别专业特点开设的公共专业基础课程。</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b/>
          <w:color w:val="000000" w:themeColor="text1"/>
          <w:kern w:val="0"/>
          <w:szCs w:val="21"/>
          <w14:textFill>
            <w14:solidFill>
              <w14:schemeClr w14:val="tx1"/>
            </w14:solidFill>
          </w14:textFill>
        </w:rPr>
        <w:t>专业主干课：</w:t>
      </w:r>
      <w:r>
        <w:rPr>
          <w:rFonts w:hint="eastAsia" w:ascii="宋体" w:hAnsi="宋体" w:cs="宋体"/>
          <w:color w:val="000000" w:themeColor="text1"/>
          <w:kern w:val="0"/>
          <w:szCs w:val="21"/>
          <w14:textFill>
            <w14:solidFill>
              <w14:schemeClr w14:val="tx1"/>
            </w14:solidFill>
          </w14:textFill>
        </w:rPr>
        <w:t>专业基本知识、基本理论和基本技能课程，体现专业培养目标，保证专业基本规格。</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b/>
          <w:color w:val="000000" w:themeColor="text1"/>
          <w:kern w:val="0"/>
          <w:szCs w:val="21"/>
          <w14:textFill>
            <w14:solidFill>
              <w14:schemeClr w14:val="tx1"/>
            </w14:solidFill>
          </w14:textFill>
        </w:rPr>
        <w:t>实践性课程</w:t>
      </w:r>
      <w:r>
        <w:rPr>
          <w:rFonts w:hint="eastAsia" w:ascii="宋体" w:hAnsi="宋体" w:cs="宋体"/>
          <w:color w:val="000000" w:themeColor="text1"/>
          <w:kern w:val="0"/>
          <w:szCs w:val="21"/>
          <w14:textFill>
            <w14:solidFill>
              <w14:schemeClr w14:val="tx1"/>
            </w14:solidFill>
          </w14:textFill>
        </w:rPr>
        <w:t>（不含课内实验、单独开设的实验课）：根据专业特点，合理安排实践教学，设立实践性课程。实践性课程包括军事训练、读书报告、课程设计（实验设计）、实习、见习、学年论文（学年项目设计）、毕业设计（论文）等。</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b/>
          <w:color w:val="000000" w:themeColor="text1"/>
          <w:kern w:val="0"/>
          <w:szCs w:val="21"/>
          <w14:textFill>
            <w14:solidFill>
              <w14:schemeClr w14:val="tx1"/>
            </w14:solidFill>
          </w14:textFill>
        </w:rPr>
        <w:t>专业选修课程</w:t>
      </w:r>
      <w:r>
        <w:rPr>
          <w:rFonts w:hint="eastAsia" w:ascii="宋体" w:hAnsi="宋体" w:cs="宋体"/>
          <w:color w:val="000000" w:themeColor="text1"/>
          <w:kern w:val="0"/>
          <w:szCs w:val="21"/>
          <w14:textFill>
            <w14:solidFill>
              <w14:schemeClr w14:val="tx1"/>
            </w14:solidFill>
          </w14:textFill>
        </w:rPr>
        <w:t>（含专业限选课、专业任选课）：可按专业方向设置课程模块，夯实学科专业基础、拓宽知识面、注重学生创新精神和实践能力的培养。</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b/>
          <w:color w:val="000000" w:themeColor="text1"/>
          <w:kern w:val="0"/>
          <w:szCs w:val="21"/>
          <w14:textFill>
            <w14:solidFill>
              <w14:schemeClr w14:val="tx1"/>
            </w14:solidFill>
          </w14:textFill>
        </w:rPr>
        <w:t>通识选修课</w:t>
      </w:r>
      <w:r>
        <w:rPr>
          <w:rFonts w:hint="eastAsia" w:ascii="宋体" w:hAnsi="宋体" w:cs="宋体"/>
          <w:color w:val="000000" w:themeColor="text1"/>
          <w:kern w:val="0"/>
          <w:szCs w:val="21"/>
          <w14:textFill>
            <w14:solidFill>
              <w14:schemeClr w14:val="tx1"/>
            </w14:solidFill>
          </w14:textFill>
        </w:rPr>
        <w:t>：由通识限选课（包括大学英语类、国学经典类选修课程）和通识任选课组成。学生可以在老师的指导下，根据自己的兴趣、爱好、特长等进行自主选课。</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2.专业课程修读关系图</w:t>
      </w:r>
    </w:p>
    <w:p>
      <w:pPr>
        <w:adjustRightInd w:val="0"/>
        <w:snapToGrid w:val="0"/>
        <w:spacing w:line="440" w:lineRule="exact"/>
        <w:ind w:firstLine="342" w:firstLineChars="150"/>
        <w:rPr>
          <w:rFonts w:ascii="仿宋_GB2312" w:hAnsi="宋体" w:eastAsia="仿宋_GB2312"/>
          <w:spacing w:val="-6"/>
          <w:sz w:val="24"/>
        </w:rPr>
      </w:pPr>
      <w:r>
        <w:rPr>
          <w:rFonts w:hint="eastAsia" w:ascii="仿宋_GB2312" w:hAnsi="宋体" w:eastAsia="仿宋_GB2312"/>
          <w:spacing w:val="-6"/>
          <w:sz w:val="24"/>
        </w:rPr>
        <w:drawing>
          <wp:anchor distT="0" distB="0" distL="114300" distR="114300" simplePos="0" relativeHeight="251665408" behindDoc="0" locked="0" layoutInCell="1" allowOverlap="1">
            <wp:simplePos x="0" y="0"/>
            <wp:positionH relativeFrom="column">
              <wp:posOffset>374015</wp:posOffset>
            </wp:positionH>
            <wp:positionV relativeFrom="paragraph">
              <wp:posOffset>39370</wp:posOffset>
            </wp:positionV>
            <wp:extent cx="4445635" cy="3547110"/>
            <wp:effectExtent l="19050" t="0" r="0" b="0"/>
            <wp:wrapSquare wrapText="bothSides"/>
            <wp:docPr id="2" name="图片 0" descr="结构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结构图.jpg"/>
                    <pic:cNvPicPr>
                      <a:picLocks noChangeAspect="1"/>
                    </pic:cNvPicPr>
                  </pic:nvPicPr>
                  <pic:blipFill>
                    <a:blip r:embed="rId4" cstate="print"/>
                    <a:stretch>
                      <a:fillRect/>
                    </a:stretch>
                  </pic:blipFill>
                  <pic:spPr>
                    <a:xfrm>
                      <a:off x="0" y="0"/>
                      <a:ext cx="4445635" cy="3547110"/>
                    </a:xfrm>
                    <a:prstGeom prst="rect">
                      <a:avLst/>
                    </a:prstGeom>
                  </pic:spPr>
                </pic:pic>
              </a:graphicData>
            </a:graphic>
          </wp:anchor>
        </w:drawing>
      </w: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440" w:lineRule="exact"/>
        <w:ind w:firstLine="342" w:firstLineChars="150"/>
        <w:rPr>
          <w:rFonts w:ascii="仿宋_GB2312" w:hAnsi="宋体" w:eastAsia="仿宋_GB2312"/>
          <w:spacing w:val="-6"/>
          <w:sz w:val="24"/>
        </w:rPr>
      </w:pPr>
    </w:p>
    <w:p>
      <w:pPr>
        <w:widowControl/>
        <w:spacing w:line="360" w:lineRule="auto"/>
        <w:rPr>
          <w:rFonts w:cs="宋体" w:asciiTheme="minorEastAsia" w:hAnsiTheme="minorEastAsia" w:eastAsiaTheme="minorEastAsia"/>
          <w:color w:val="000000" w:themeColor="text1"/>
          <w:kern w:val="0"/>
          <w:szCs w:val="21"/>
          <w14:textFill>
            <w14:solidFill>
              <w14:schemeClr w14:val="tx1"/>
            </w14:solidFill>
          </w14:textFill>
        </w:rPr>
      </w:pPr>
    </w:p>
    <w:p>
      <w:pPr>
        <w:widowControl/>
        <w:spacing w:line="360" w:lineRule="auto"/>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3.毕业要求</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本专业学生主要学习电气工程的基本理论，学习计算机技术、自动控制技术和电气自动化技术的基本知识，掌握一门外语，受到现代企业应用型电气工程师的技能训练，具有进行电气设备的设计制造、应用研究、生产组织等方面的能力。</w:t>
      </w:r>
      <w:r>
        <w:rPr>
          <w:rFonts w:asciiTheme="minorEastAsia" w:hAnsiTheme="minorEastAsia" w:eastAsiaTheme="minorEastAsia"/>
        </w:rPr>
        <w:t>本专业毕业生应获得以下几个方面的知识、能力和素质要求：</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(1)知识要求</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1)掌握较扎实的数学、物理等基础科学知识；</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2)具备计算机应用技术的一般知识；</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3)具备电气工程基础知识，包括电路元器件知识、电路识图及制图知识以及电气工程技术核心知识；</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4)具备电气工程领域各学科的方向性知识，包括电力知识、电机知识、控制知识等；</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5)了解电气工程交叉学科的基础知识，具有电气装置与电气系统的设计知识。</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(2)能力要求：</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6)具有电气工程领域的职业技能；</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7)具有工程推理能力和解决工程实际问题的能力；</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8)掌握科技文献检索和技术交流的技能；</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9)具备良好职业规划能力；</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10)具有良好的人际交往和团队合作能力,良好的写作交流和口头表达能力；</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(3)素质要求</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11)生理、心理、人文素质和思想道德修养；</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12)具有良好的工程师职业道德，遵纪懂法；</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13)能够在工作中不断学习探索知识，具备良好的工作精神和工作态度；</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14)能运用现代交流手段，能阅读和理解专业英语文献，能运用英语进行电气技术领域的一般沟通和交流；</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(15)对企业和社会有良好的认知，能在企业或社会环境中进行电气产品或系统的构思、设计、执行和运作。</w:t>
      </w:r>
    </w:p>
    <w:p>
      <w:pPr>
        <w:ind w:firstLine="420" w:firstLineChars="200"/>
      </w:pPr>
    </w:p>
    <w:p>
      <w:pPr>
        <w:widowControl/>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4.课程与毕业要求的对应关系。</w:t>
      </w:r>
    </w:p>
    <w:p>
      <w:pPr>
        <w:pStyle w:val="61"/>
        <w:spacing w:line="320" w:lineRule="exact"/>
        <w:ind w:firstLine="0" w:firstLineChars="0"/>
        <w:jc w:val="center"/>
        <w:rPr>
          <w:rFonts w:ascii="仿宋_GB2312" w:hAnsi="Times New Roman" w:eastAsia="仿宋_GB2312" w:cs="Times New Roman"/>
          <w:sz w:val="18"/>
          <w:szCs w:val="18"/>
        </w:rPr>
      </w:pPr>
      <w:r>
        <w:rPr>
          <w:rFonts w:hint="eastAsia" w:ascii="仿宋_GB2312" w:hAnsi="Times New Roman" w:eastAsia="仿宋_GB2312" w:cs="Times New Roman"/>
          <w:sz w:val="18"/>
          <w:szCs w:val="18"/>
        </w:rPr>
        <w:t>各类课程与毕业要求的对应关系表</w:t>
      </w:r>
    </w:p>
    <w:tbl>
      <w:tblPr>
        <w:tblStyle w:val="15"/>
        <w:tblW w:w="886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47"/>
        <w:gridCol w:w="425"/>
        <w:gridCol w:w="425"/>
        <w:gridCol w:w="426"/>
        <w:gridCol w:w="425"/>
        <w:gridCol w:w="425"/>
        <w:gridCol w:w="425"/>
        <w:gridCol w:w="426"/>
        <w:gridCol w:w="425"/>
        <w:gridCol w:w="425"/>
        <w:gridCol w:w="425"/>
        <w:gridCol w:w="426"/>
        <w:gridCol w:w="567"/>
        <w:gridCol w:w="425"/>
        <w:gridCol w:w="425"/>
        <w:gridCol w:w="4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1" w:hRule="atLeast"/>
          <w:jc w:val="center"/>
        </w:trPr>
        <w:tc>
          <w:tcPr>
            <w:tcW w:w="2347" w:type="dxa"/>
            <w:tcBorders>
              <w:top w:val="single" w:color="auto" w:sz="12" w:space="0"/>
              <w:left w:val="single" w:color="auto" w:sz="12" w:space="0"/>
            </w:tcBorders>
          </w:tcPr>
          <w:p>
            <w:pPr>
              <w:pStyle w:val="61"/>
              <w:spacing w:line="320" w:lineRule="exact"/>
              <w:ind w:firstLine="0" w:firstLineChars="0"/>
              <w:jc w:val="center"/>
              <w:rPr>
                <w:rFonts w:ascii="仿宋_GB2312" w:hAnsi="Times New Roman" w:eastAsia="仿宋_GB2312" w:cs="Times New Roman"/>
                <w:color w:val="FF0000"/>
                <w:sz w:val="18"/>
                <w:szCs w:val="18"/>
              </w:rPr>
            </w:pP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要求(2)</w:t>
            </w:r>
          </w:p>
        </w:tc>
        <w:tc>
          <w:tcPr>
            <w:tcW w:w="426"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要求(3)</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要求(4)</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要求(5)</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要求(6)</w:t>
            </w:r>
          </w:p>
        </w:tc>
        <w:tc>
          <w:tcPr>
            <w:tcW w:w="426"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要求(7)</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要求(8)</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要求(9)</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要求(10)</w:t>
            </w:r>
          </w:p>
        </w:tc>
        <w:tc>
          <w:tcPr>
            <w:tcW w:w="426"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要求(11)</w:t>
            </w:r>
          </w:p>
        </w:tc>
        <w:tc>
          <w:tcPr>
            <w:tcW w:w="567"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要求(12)</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要求(13)</w:t>
            </w:r>
          </w:p>
        </w:tc>
        <w:tc>
          <w:tcPr>
            <w:tcW w:w="425" w:type="dxa"/>
            <w:tcBorders>
              <w:top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要求(14)</w:t>
            </w:r>
          </w:p>
        </w:tc>
        <w:tc>
          <w:tcPr>
            <w:tcW w:w="425" w:type="dxa"/>
            <w:tcBorders>
              <w:top w:val="single" w:color="auto" w:sz="12" w:space="0"/>
              <w:right w:val="single" w:color="auto"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要求(15)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马克思主义基本原理</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思想道德修养与法律基础</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毛泽东思想和中国特色社会主义理论体系概论</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中国近现代史纲要</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形势与政策</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大学英语</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大学生心理健康教育</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体育与健康</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大学生职业发展与就业指导</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567"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高等数学A</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大学计算机基础</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C程序设计</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创新创业基础</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国防教育</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军事训练</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大学物理D</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大学英语类课程</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国学经典类课程</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通识任选课</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电路原理</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模拟电子线路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数字逻辑电路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电机学</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自动控制原理</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电力电子技术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金工实习</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学科认知实践</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r>
              <w:rPr>
                <w:rFonts w:hint="eastAsia" w:ascii="仿宋_GB2312" w:hAnsi="宋体" w:eastAsia="仿宋_GB2312"/>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电子技术课程设计</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电工技术实践</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系统设计与实践</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工程项目设计训练</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生产实习</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r>
              <w:rPr>
                <w:rFonts w:hint="eastAsia" w:ascii="仿宋_GB2312" w:hAnsi="宋体" w:eastAsia="仿宋_GB2312"/>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毕业设计（论文）</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r>
              <w:rPr>
                <w:rFonts w:hint="eastAsia" w:ascii="仿宋_GB2312" w:hAnsi="宋体" w:eastAsia="仿宋_GB2312"/>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传感器与检测技术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物流技术与装备</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电气控制及PLC技术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计算机控制技术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运动控制系统</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eastAsia="仿宋_GB2312"/>
                <w:kern w:val="0"/>
                <w:sz w:val="18"/>
                <w:szCs w:val="18"/>
              </w:rPr>
            </w:pPr>
            <w:r>
              <w:rPr>
                <w:rFonts w:hint="eastAsia" w:ascii="仿宋_GB2312" w:eastAsia="仿宋_GB2312"/>
                <w:kern w:val="0"/>
                <w:sz w:val="18"/>
                <w:szCs w:val="18"/>
              </w:rPr>
              <w:t>物流自动化系统设计</w:t>
            </w:r>
          </w:p>
          <w:p>
            <w:pPr>
              <w:jc w:val="center"/>
              <w:rPr>
                <w:rFonts w:ascii="仿宋_GB2312" w:hAnsi="宋体" w:eastAsia="仿宋_GB2312"/>
                <w:sz w:val="18"/>
                <w:szCs w:val="18"/>
              </w:rPr>
            </w:pPr>
            <w:r>
              <w:rPr>
                <w:rFonts w:hint="eastAsia" w:ascii="仿宋_GB2312" w:eastAsia="仿宋_GB2312"/>
                <w:kern w:val="0"/>
                <w:sz w:val="18"/>
                <w:szCs w:val="18"/>
              </w:rPr>
              <w:t>与应用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供配电技术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电力系统分析</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高电压技术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电力系统自动化</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电力系统继电保护</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发电厂电气装置</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工程图学</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复变函数与积分变换</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线性代数B</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概率论与数理统计</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电气工程CAD</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jc w:val="center"/>
              <w:rPr>
                <w:rFonts w:ascii="仿宋_GB2312" w:hAnsi="宋体" w:eastAsia="仿宋_GB2312"/>
                <w:sz w:val="18"/>
                <w:szCs w:val="18"/>
              </w:rPr>
            </w:pPr>
            <w:r>
              <w:rPr>
                <w:rFonts w:hint="eastAsia" w:ascii="仿宋_GB2312" w:eastAsia="仿宋_GB2312"/>
                <w:kern w:val="0"/>
                <w:sz w:val="18"/>
                <w:szCs w:val="18"/>
              </w:rPr>
              <w:t>软件技术基础</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单片机原理与应用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信号与系统</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机器人技术及应用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数据库技术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MATLAB与系统仿真</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物流系统建模与仿真</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控制电机及其应用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现代控制理论</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现代电源技术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现代DSP技术及应用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嵌入式系统及应用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专业外语</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人工智能</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现代物流设施与规划</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物流信息技术与应用</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工业控制组态及现场总线技术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电气设备监测与故障诊断</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计算机网络与通讯</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学科导论</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文献检索与科技写作</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口才与礼仪</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项目管理</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现代企业管理</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6" w:type="dxa"/>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Mar>
              <w:left w:w="0" w:type="dxa"/>
              <w:right w:w="0" w:type="dxa"/>
            </w:tcMa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Mar>
              <w:left w:w="0" w:type="dxa"/>
              <w:right w:w="0" w:type="dxa"/>
            </w:tcMar>
            <w:vAlign w:val="center"/>
          </w:tcPr>
          <w:p>
            <w:pPr>
              <w:jc w:val="center"/>
              <w:rPr>
                <w:rFonts w:ascii="仿宋_GB2312" w:hAnsi="宋体" w:eastAsia="仿宋_GB2312"/>
                <w:sz w:val="18"/>
                <w:szCs w:val="18"/>
              </w:rPr>
            </w:pPr>
          </w:p>
        </w:tc>
        <w:tc>
          <w:tcPr>
            <w:tcW w:w="425" w:type="dxa"/>
            <w:tcBorders>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bottom w:val="single" w:color="000000" w:sz="4"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工程经济学</w:t>
            </w: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6"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6"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6" w:type="dxa"/>
            <w:tcBorders>
              <w:bottom w:val="single" w:color="000000" w:sz="4" w:space="0"/>
            </w:tcBorders>
            <w:tcMar>
              <w:left w:w="0" w:type="dxa"/>
              <w:right w:w="0" w:type="dxa"/>
            </w:tcMa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567" w:type="dxa"/>
            <w:tcBorders>
              <w:bottom w:val="single" w:color="000000" w:sz="4" w:space="0"/>
            </w:tcBorders>
            <w:tcMar>
              <w:left w:w="0" w:type="dxa"/>
              <w:right w:w="0" w:type="dxa"/>
            </w:tcMa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4" w:space="0"/>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2" w:hRule="atLeast"/>
          <w:jc w:val="center"/>
        </w:trPr>
        <w:tc>
          <w:tcPr>
            <w:tcW w:w="2347" w:type="dxa"/>
            <w:tcBorders>
              <w:left w:val="single" w:color="auto" w:sz="12" w:space="0"/>
              <w:bottom w:val="single" w:color="000000" w:sz="12" w:space="0"/>
            </w:tcBorders>
            <w:vAlign w:val="center"/>
          </w:tcPr>
          <w:p>
            <w:pPr>
              <w:widowControl/>
              <w:snapToGrid w:val="0"/>
              <w:spacing w:line="0" w:lineRule="atLeast"/>
              <w:jc w:val="center"/>
              <w:rPr>
                <w:rFonts w:ascii="仿宋_GB2312" w:eastAsia="仿宋_GB2312"/>
                <w:kern w:val="0"/>
                <w:sz w:val="18"/>
                <w:szCs w:val="18"/>
              </w:rPr>
            </w:pPr>
            <w:r>
              <w:rPr>
                <w:rFonts w:hint="eastAsia" w:ascii="仿宋_GB2312" w:eastAsia="仿宋_GB2312"/>
                <w:kern w:val="0"/>
                <w:sz w:val="18"/>
                <w:szCs w:val="18"/>
              </w:rPr>
              <w:t>专利与项目申报指导</w:t>
            </w: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6"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6"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r>
              <w:rPr>
                <w:rFonts w:hint="eastAsia" w:ascii="仿宋_GB2312" w:hAnsi="宋体" w:eastAsia="仿宋_GB2312"/>
                <w:sz w:val="18"/>
                <w:szCs w:val="18"/>
              </w:rPr>
              <w:t>●</w:t>
            </w:r>
          </w:p>
        </w:tc>
        <w:tc>
          <w:tcPr>
            <w:tcW w:w="426" w:type="dxa"/>
            <w:tcBorders>
              <w:bottom w:val="single" w:color="000000" w:sz="12" w:space="0"/>
            </w:tcBorders>
            <w:tcMar>
              <w:left w:w="0" w:type="dxa"/>
              <w:right w:w="0" w:type="dxa"/>
            </w:tcMar>
          </w:tcPr>
          <w:p>
            <w:pPr>
              <w:jc w:val="center"/>
              <w:rPr>
                <w:rFonts w:ascii="仿宋_GB2312" w:hAnsi="宋体" w:eastAsia="仿宋_GB2312"/>
                <w:sz w:val="18"/>
                <w:szCs w:val="18"/>
              </w:rPr>
            </w:pPr>
          </w:p>
        </w:tc>
        <w:tc>
          <w:tcPr>
            <w:tcW w:w="567" w:type="dxa"/>
            <w:tcBorders>
              <w:bottom w:val="single" w:color="000000" w:sz="12" w:space="0"/>
            </w:tcBorders>
            <w:tcMar>
              <w:left w:w="0" w:type="dxa"/>
              <w:right w:w="0" w:type="dxa"/>
            </w:tcMa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tcBorders>
            <w:tcMar>
              <w:left w:w="0" w:type="dxa"/>
              <w:right w:w="0" w:type="dxa"/>
            </w:tcMar>
            <w:vAlign w:val="center"/>
          </w:tcPr>
          <w:p>
            <w:pPr>
              <w:jc w:val="center"/>
              <w:rPr>
                <w:rFonts w:ascii="仿宋_GB2312" w:hAnsi="宋体" w:eastAsia="仿宋_GB2312"/>
                <w:sz w:val="18"/>
                <w:szCs w:val="18"/>
              </w:rPr>
            </w:pPr>
          </w:p>
        </w:tc>
        <w:tc>
          <w:tcPr>
            <w:tcW w:w="425" w:type="dxa"/>
            <w:tcBorders>
              <w:bottom w:val="single" w:color="000000" w:sz="12" w:space="0"/>
              <w:right w:val="single" w:color="auto" w:sz="12" w:space="0"/>
            </w:tcBorders>
            <w:tcMar>
              <w:left w:w="0" w:type="dxa"/>
              <w:right w:w="0" w:type="dxa"/>
            </w:tcMar>
            <w:vAlign w:val="center"/>
          </w:tcPr>
          <w:p>
            <w:pPr>
              <w:pStyle w:val="61"/>
              <w:spacing w:line="320" w:lineRule="exact"/>
              <w:ind w:firstLine="0" w:firstLineChars="0"/>
              <w:jc w:val="center"/>
              <w:rPr>
                <w:rFonts w:ascii="仿宋_GB2312" w:hAnsi="宋体" w:eastAsia="仿宋_GB2312" w:cs="Times New Roman"/>
                <w:sz w:val="18"/>
                <w:szCs w:val="18"/>
              </w:rPr>
            </w:pPr>
          </w:p>
        </w:tc>
      </w:tr>
    </w:tbl>
    <w:p>
      <w:pPr>
        <w:adjustRightInd w:val="0"/>
        <w:snapToGrid w:val="0"/>
        <w:spacing w:line="440" w:lineRule="exact"/>
        <w:ind w:firstLine="342" w:firstLineChars="150"/>
        <w:rPr>
          <w:rFonts w:ascii="仿宋_GB2312" w:hAnsi="宋体" w:eastAsia="仿宋_GB2312"/>
          <w:spacing w:val="-6"/>
          <w:sz w:val="24"/>
        </w:rPr>
      </w:pPr>
    </w:p>
    <w:p>
      <w:pPr>
        <w:adjustRightInd w:val="0"/>
        <w:snapToGrid w:val="0"/>
        <w:spacing w:line="360" w:lineRule="auto"/>
        <w:rPr>
          <w:rFonts w:ascii="仿宋_GB2312" w:hAnsi="宋体" w:eastAsia="仿宋_GB2312" w:cs="宋体"/>
          <w:kern w:val="0"/>
          <w:sz w:val="24"/>
        </w:rPr>
      </w:pPr>
      <w:r>
        <w:rPr>
          <w:rFonts w:hint="eastAsia" w:ascii="仿宋_GB2312" w:hAnsi="宋体" w:eastAsia="仿宋_GB2312" w:cs="宋体"/>
          <w:kern w:val="0"/>
          <w:sz w:val="24"/>
        </w:rPr>
        <w:t>（二）学生修读说明</w:t>
      </w:r>
    </w:p>
    <w:p>
      <w:pPr>
        <w:spacing w:line="500" w:lineRule="exact"/>
        <w:ind w:firstLine="420" w:firstLineChars="200"/>
        <w:rPr>
          <w:rFonts w:ascii="宋体" w:hAnsi="宋体" w:cs="宋体"/>
          <w:szCs w:val="21"/>
        </w:rPr>
      </w:pPr>
      <w:r>
        <w:rPr>
          <w:rFonts w:hint="eastAsia" w:ascii="宋体" w:hAnsi="宋体" w:cs="宋体"/>
          <w:szCs w:val="21"/>
        </w:rPr>
        <w:t>1．“国防教育”、“军事训练”、“形势与政策”、“大学生职业发展与就业指导”等必修课程，共计9学分不列入按学分收费范围。</w:t>
      </w:r>
    </w:p>
    <w:p>
      <w:pPr>
        <w:spacing w:line="500" w:lineRule="exact"/>
        <w:ind w:firstLine="420" w:firstLineChars="200"/>
        <w:rPr>
          <w:rFonts w:ascii="宋体" w:hAnsi="宋体" w:cs="宋体"/>
          <w:szCs w:val="21"/>
        </w:rPr>
      </w:pPr>
      <w:r>
        <w:rPr>
          <w:rFonts w:hint="eastAsia" w:ascii="宋体" w:hAnsi="宋体" w:cs="宋体"/>
          <w:szCs w:val="21"/>
        </w:rPr>
        <w:t>2．第二课堂学分：第二课堂是指在第一课堂以外的一切传授知识、培养能力的活动，是第一课堂的延伸和补充。第二课堂学分不列入按学分收费范围，按照《湖州师范学院学生课外学分管理办法》认定。第二课堂内容</w:t>
      </w:r>
      <w:r>
        <w:rPr>
          <w:rFonts w:ascii="宋体" w:hAnsi="宋体" w:cs="宋体"/>
          <w:szCs w:val="21"/>
        </w:rPr>
        <w:t>按照</w:t>
      </w:r>
      <w:r>
        <w:rPr>
          <w:rFonts w:hint="eastAsia" w:ascii="宋体" w:hAnsi="宋体" w:cs="宋体"/>
          <w:szCs w:val="21"/>
        </w:rPr>
        <w:t>学校对第二课堂学分相关规定</w:t>
      </w:r>
      <w:r>
        <w:rPr>
          <w:rFonts w:ascii="宋体" w:hAnsi="宋体" w:cs="宋体"/>
          <w:szCs w:val="21"/>
        </w:rPr>
        <w:t>认定</w:t>
      </w:r>
      <w:r>
        <w:rPr>
          <w:rFonts w:hint="eastAsia" w:ascii="宋体" w:hAnsi="宋体" w:cs="宋体"/>
          <w:szCs w:val="21"/>
        </w:rPr>
        <w:t>。</w:t>
      </w:r>
    </w:p>
    <w:p>
      <w:pPr>
        <w:spacing w:line="500" w:lineRule="exact"/>
        <w:ind w:firstLine="420" w:firstLineChars="200"/>
        <w:rPr>
          <w:rFonts w:ascii="宋体" w:hAnsi="宋体" w:cs="宋体"/>
          <w:szCs w:val="21"/>
        </w:rPr>
      </w:pPr>
      <w:r>
        <w:rPr>
          <w:rFonts w:hint="eastAsia" w:ascii="宋体" w:hAnsi="宋体" w:cs="宋体"/>
          <w:szCs w:val="21"/>
        </w:rPr>
        <w:t>3．通识选修课：通识限选课须修满8个学分，大学英语类课程须修满6个学分（从附件表1中选修），国学经典类课程须修满2个学分（从附件表2中选修）。通识任选课须修满6个学分（于第2学期开始修读，至少选修人文社科类通识课程2学分，非艺术体育类专业至少修读艺术体育类通识课程2学分，网络修读不得超过2学分）。</w:t>
      </w:r>
    </w:p>
    <w:p>
      <w:pPr>
        <w:spacing w:line="500" w:lineRule="exact"/>
        <w:ind w:firstLine="420" w:firstLineChars="200"/>
        <w:rPr>
          <w:rFonts w:ascii="宋体" w:hAnsi="宋体" w:cs="宋体"/>
          <w:szCs w:val="21"/>
        </w:rPr>
      </w:pPr>
      <w:r>
        <w:rPr>
          <w:rFonts w:hint="eastAsia" w:ascii="宋体" w:hAnsi="宋体" w:cs="宋体"/>
          <w:szCs w:val="21"/>
        </w:rPr>
        <w:t>4．每位学生必须修满规定的通识课程、专业课程与实践性课程的学分，总修读课程学分不低于169个学分，第二课堂学分不低于5个学分，并同时符合学校的其他有关规定，方可毕业。</w:t>
      </w:r>
    </w:p>
    <w:p>
      <w:pPr>
        <w:adjustRightInd w:val="0"/>
        <w:snapToGrid w:val="0"/>
        <w:spacing w:line="360" w:lineRule="auto"/>
        <w:rPr>
          <w:rFonts w:ascii="仿宋_GB2312" w:hAnsi="宋体" w:eastAsia="仿宋_GB2312" w:cs="宋体"/>
          <w:b/>
          <w:kern w:val="0"/>
          <w:sz w:val="24"/>
        </w:rPr>
      </w:pPr>
      <w:r>
        <w:rPr>
          <w:rFonts w:hint="eastAsia" w:ascii="仿宋_GB2312" w:hAnsi="宋体" w:eastAsia="仿宋_GB2312" w:cs="宋体"/>
          <w:b/>
          <w:kern w:val="0"/>
          <w:sz w:val="24"/>
        </w:rPr>
        <w:t>五、专业实践能力培养、技能训练体系</w:t>
      </w:r>
    </w:p>
    <w:p>
      <w:pPr>
        <w:widowControl/>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实践教学环节贯穿专业培养的全过程，主要包括：生产实习、金工实习、电子线路实习、课程设计、毕业实习及毕业设计（论文）、集中的课程实验、社会调查和各类课外科技活动等。</w:t>
      </w:r>
    </w:p>
    <w:p>
      <w:pPr>
        <w:widowControl/>
        <w:spacing w:line="360" w:lineRule="auto"/>
        <w:rPr>
          <w:rFonts w:ascii="宋体" w:hAnsi="宋体" w:cs="宋体"/>
          <w:color w:val="000000" w:themeColor="text1"/>
          <w:kern w:val="0"/>
          <w:szCs w:val="21"/>
          <w14:textFill>
            <w14:solidFill>
              <w14:schemeClr w14:val="tx1"/>
            </w14:solidFill>
          </w14:textFill>
        </w:rPr>
        <w:sectPr>
          <w:pgSz w:w="11906" w:h="16838"/>
          <w:pgMar w:top="1440" w:right="1800" w:bottom="1843" w:left="1800" w:header="851" w:footer="992" w:gutter="0"/>
          <w:cols w:space="425" w:num="1"/>
          <w:docGrid w:type="lines" w:linePitch="312" w:charSpace="0"/>
        </w:sectPr>
      </w:pPr>
    </w:p>
    <w:p>
      <w:pPr>
        <w:widowControl/>
        <w:rPr>
          <w:rFonts w:ascii="宋体" w:hAnsi="宋体" w:cs="宋体"/>
          <w:color w:val="000000" w:themeColor="text1"/>
          <w:kern w:val="0"/>
          <w:szCs w:val="21"/>
          <w14:textFill>
            <w14:solidFill>
              <w14:schemeClr w14:val="tx1"/>
            </w14:solidFill>
          </w14:textFill>
        </w:rPr>
      </w:pPr>
    </w:p>
    <w:p>
      <w:pPr>
        <w:widowControl/>
        <w:rPr>
          <w:rFonts w:ascii="宋体" w:hAnsi="宋体" w:cs="宋体"/>
          <w:color w:val="000000" w:themeColor="text1"/>
          <w:kern w:val="0"/>
          <w:szCs w:val="21"/>
          <w14:textFill>
            <w14:solidFill>
              <w14:schemeClr w14:val="tx1"/>
            </w14:solidFill>
          </w14:textFill>
        </w:rPr>
      </w:pPr>
    </w:p>
    <w:tbl>
      <w:tblPr>
        <w:tblStyle w:val="15"/>
        <w:tblW w:w="136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
        <w:gridCol w:w="709"/>
        <w:gridCol w:w="709"/>
        <w:gridCol w:w="5302"/>
        <w:gridCol w:w="6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393" w:type="dxa"/>
            <w:tcBorders>
              <w:top w:val="single" w:color="auto" w:sz="12" w:space="0"/>
              <w:left w:val="single" w:color="auto" w:sz="12" w:space="0"/>
            </w:tcBorders>
            <w:tcMar>
              <w:left w:w="0" w:type="dxa"/>
              <w:right w:w="0" w:type="dxa"/>
            </w:tcMar>
            <w:vAlign w:val="center"/>
          </w:tcPr>
          <w:p>
            <w:pPr>
              <w:spacing w:line="240" w:lineRule="atLeast"/>
              <w:jc w:val="center"/>
              <w:rPr>
                <w:rFonts w:asciiTheme="minorEastAsia" w:hAnsiTheme="minorEastAsia" w:eastAsiaTheme="minorEastAsia"/>
                <w:sz w:val="15"/>
                <w:szCs w:val="15"/>
              </w:rPr>
            </w:pPr>
            <w:r>
              <w:rPr>
                <w:rFonts w:hint="eastAsia" w:asciiTheme="minorEastAsia" w:hAnsiTheme="minorEastAsia" w:eastAsiaTheme="minorEastAsia"/>
                <w:sz w:val="15"/>
                <w:szCs w:val="15"/>
              </w:rPr>
              <w:t>序号</w:t>
            </w:r>
          </w:p>
        </w:tc>
        <w:tc>
          <w:tcPr>
            <w:tcW w:w="709" w:type="dxa"/>
            <w:tcBorders>
              <w:top w:val="single" w:color="auto" w:sz="12" w:space="0"/>
            </w:tcBorders>
            <w:tcMar>
              <w:left w:w="0" w:type="dxa"/>
              <w:right w:w="0" w:type="dxa"/>
            </w:tcMar>
            <w:vAlign w:val="center"/>
          </w:tcPr>
          <w:p>
            <w:pPr>
              <w:spacing w:line="240" w:lineRule="atLeast"/>
              <w:jc w:val="center"/>
              <w:rPr>
                <w:rFonts w:asciiTheme="minorEastAsia" w:hAnsiTheme="minorEastAsia" w:eastAsiaTheme="minorEastAsia"/>
                <w:sz w:val="15"/>
                <w:szCs w:val="15"/>
              </w:rPr>
            </w:pPr>
            <w:r>
              <w:rPr>
                <w:rFonts w:hint="eastAsia" w:asciiTheme="minorEastAsia" w:hAnsiTheme="minorEastAsia" w:eastAsiaTheme="minorEastAsia"/>
                <w:sz w:val="15"/>
                <w:szCs w:val="15"/>
              </w:rPr>
              <w:t>项目名称</w:t>
            </w:r>
          </w:p>
        </w:tc>
        <w:tc>
          <w:tcPr>
            <w:tcW w:w="709" w:type="dxa"/>
            <w:tcBorders>
              <w:top w:val="single" w:color="auto" w:sz="12" w:space="0"/>
            </w:tcBorders>
            <w:tcMar>
              <w:left w:w="0" w:type="dxa"/>
              <w:right w:w="0" w:type="dxa"/>
            </w:tcMar>
            <w:vAlign w:val="center"/>
          </w:tcPr>
          <w:p>
            <w:pPr>
              <w:spacing w:line="240" w:lineRule="atLeast"/>
              <w:jc w:val="center"/>
              <w:rPr>
                <w:rFonts w:asciiTheme="minorEastAsia" w:hAnsiTheme="minorEastAsia" w:eastAsiaTheme="minorEastAsia"/>
                <w:sz w:val="15"/>
                <w:szCs w:val="15"/>
              </w:rPr>
            </w:pPr>
            <w:r>
              <w:rPr>
                <w:rFonts w:hint="eastAsia" w:asciiTheme="minorEastAsia" w:hAnsiTheme="minorEastAsia" w:eastAsiaTheme="minorEastAsia"/>
                <w:sz w:val="15"/>
                <w:szCs w:val="15"/>
              </w:rPr>
              <w:t>安排学期</w:t>
            </w:r>
          </w:p>
        </w:tc>
        <w:tc>
          <w:tcPr>
            <w:tcW w:w="5302" w:type="dxa"/>
            <w:tcBorders>
              <w:top w:val="single" w:color="auto" w:sz="12" w:space="0"/>
            </w:tcBorders>
            <w:vAlign w:val="center"/>
          </w:tcPr>
          <w:p>
            <w:pPr>
              <w:spacing w:line="240" w:lineRule="atLeast"/>
              <w:jc w:val="center"/>
              <w:rPr>
                <w:rFonts w:asciiTheme="minorEastAsia" w:hAnsiTheme="minorEastAsia" w:eastAsiaTheme="minorEastAsia"/>
                <w:sz w:val="15"/>
                <w:szCs w:val="15"/>
              </w:rPr>
            </w:pPr>
            <w:r>
              <w:rPr>
                <w:rFonts w:hint="eastAsia" w:asciiTheme="minorEastAsia" w:hAnsiTheme="minorEastAsia" w:eastAsiaTheme="minorEastAsia"/>
                <w:sz w:val="15"/>
                <w:szCs w:val="15"/>
              </w:rPr>
              <w:t>考核要求</w:t>
            </w:r>
          </w:p>
        </w:tc>
        <w:tc>
          <w:tcPr>
            <w:tcW w:w="6492" w:type="dxa"/>
            <w:tcBorders>
              <w:top w:val="single" w:color="auto" w:sz="12" w:space="0"/>
              <w:right w:val="single" w:color="auto" w:sz="12" w:space="0"/>
            </w:tcBorders>
            <w:vAlign w:val="center"/>
          </w:tcPr>
          <w:p>
            <w:pPr>
              <w:spacing w:line="240" w:lineRule="atLeast"/>
              <w:jc w:val="center"/>
              <w:rPr>
                <w:rFonts w:asciiTheme="minorEastAsia" w:hAnsiTheme="minorEastAsia" w:eastAsiaTheme="minorEastAsia"/>
                <w:sz w:val="15"/>
                <w:szCs w:val="15"/>
              </w:rPr>
            </w:pPr>
            <w:r>
              <w:rPr>
                <w:rFonts w:hint="eastAsia" w:asciiTheme="minorEastAsia" w:hAnsiTheme="minorEastAsia" w:eastAsiaTheme="minorEastAsia"/>
                <w:sz w:val="15"/>
                <w:szCs w:val="15"/>
              </w:rPr>
              <w:t>具体安排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1</w:t>
            </w:r>
          </w:p>
        </w:tc>
        <w:tc>
          <w:tcPr>
            <w:tcW w:w="709" w:type="dxa"/>
            <w:tcMar>
              <w:left w:w="0" w:type="dxa"/>
              <w:right w:w="0" w:type="dxa"/>
            </w:tcMar>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金工实习</w:t>
            </w:r>
          </w:p>
        </w:tc>
        <w:tc>
          <w:tcPr>
            <w:tcW w:w="709" w:type="dxa"/>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2</w:t>
            </w:r>
          </w:p>
        </w:tc>
        <w:tc>
          <w:tcPr>
            <w:tcW w:w="5302" w:type="dxa"/>
          </w:tcPr>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1</w:t>
            </w:r>
            <w:r>
              <w:rPr>
                <w:rFonts w:hint="eastAsia" w:asciiTheme="minorEastAsia" w:hAnsiTheme="minorEastAsia" w:eastAsiaTheme="minorEastAsia"/>
                <w:sz w:val="15"/>
                <w:szCs w:val="15"/>
              </w:rPr>
              <w:t>）</w:t>
            </w:r>
            <w:r>
              <w:rPr>
                <w:rFonts w:asciiTheme="minorEastAsia" w:hAnsiTheme="minorEastAsia" w:eastAsiaTheme="minorEastAsia"/>
                <w:sz w:val="15"/>
                <w:szCs w:val="15"/>
              </w:rPr>
              <w:t>了解金属的各种主要加工方法及加工过程、所用设备、生产特点和应用范围，并且掌握初步的</w:t>
            </w:r>
            <w:r>
              <w:rPr>
                <w:rFonts w:hint="eastAsia" w:asciiTheme="minorEastAsia" w:hAnsiTheme="minorEastAsia" w:eastAsiaTheme="minorEastAsia"/>
                <w:sz w:val="15"/>
                <w:szCs w:val="15"/>
              </w:rPr>
              <w:t>钳工</w:t>
            </w:r>
            <w:r>
              <w:rPr>
                <w:rFonts w:asciiTheme="minorEastAsia" w:hAnsiTheme="minorEastAsia" w:eastAsiaTheme="minorEastAsia"/>
                <w:sz w:val="15"/>
                <w:szCs w:val="15"/>
              </w:rPr>
              <w:t>操作技能；</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2</w:t>
            </w:r>
            <w:r>
              <w:rPr>
                <w:rFonts w:hint="eastAsia" w:asciiTheme="minorEastAsia" w:hAnsiTheme="minorEastAsia" w:eastAsiaTheme="minorEastAsia"/>
                <w:sz w:val="15"/>
                <w:szCs w:val="15"/>
              </w:rPr>
              <w:t>)</w:t>
            </w:r>
            <w:r>
              <w:rPr>
                <w:rFonts w:asciiTheme="minorEastAsia" w:hAnsiTheme="minorEastAsia" w:eastAsiaTheme="minorEastAsia"/>
                <w:sz w:val="15"/>
                <w:szCs w:val="15"/>
              </w:rPr>
              <w:t>了解新工艺、新技术在机械制造中的应用；</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3</w:t>
            </w:r>
            <w:r>
              <w:rPr>
                <w:rFonts w:hint="eastAsia" w:asciiTheme="minorEastAsia" w:hAnsiTheme="minorEastAsia" w:eastAsiaTheme="minorEastAsia"/>
                <w:sz w:val="15"/>
                <w:szCs w:val="15"/>
              </w:rPr>
              <w:t>)</w:t>
            </w:r>
            <w:r>
              <w:rPr>
                <w:rFonts w:asciiTheme="minorEastAsia" w:hAnsiTheme="minorEastAsia" w:eastAsiaTheme="minorEastAsia"/>
                <w:sz w:val="15"/>
                <w:szCs w:val="15"/>
              </w:rPr>
              <w:t>熟悉有关工程术语、技术文件及技术标准；</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4</w:t>
            </w:r>
            <w:r>
              <w:rPr>
                <w:rFonts w:hint="eastAsia" w:asciiTheme="minorEastAsia" w:hAnsiTheme="minorEastAsia" w:eastAsiaTheme="minorEastAsia"/>
                <w:sz w:val="15"/>
                <w:szCs w:val="15"/>
              </w:rPr>
              <w:t>)</w:t>
            </w:r>
            <w:r>
              <w:rPr>
                <w:rFonts w:asciiTheme="minorEastAsia" w:hAnsiTheme="minorEastAsia" w:eastAsiaTheme="minorEastAsia"/>
                <w:sz w:val="15"/>
                <w:szCs w:val="15"/>
              </w:rPr>
              <w:t>、培养劳动观点、遵守纪律、爱护国家财产，培养理论联系实际的科学作风</w:t>
            </w:r>
            <w:r>
              <w:rPr>
                <w:rFonts w:hint="eastAsia" w:asciiTheme="minorEastAsia" w:hAnsiTheme="minorEastAsia" w:eastAsiaTheme="minorEastAsia"/>
                <w:sz w:val="15"/>
                <w:szCs w:val="15"/>
              </w:rPr>
              <w:t>。</w:t>
            </w:r>
          </w:p>
        </w:tc>
        <w:tc>
          <w:tcPr>
            <w:tcW w:w="6492" w:type="dxa"/>
            <w:tcBorders>
              <w:right w:val="single" w:color="auto" w:sz="12" w:space="0"/>
            </w:tcBorders>
          </w:tcPr>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金工实习以学生独立操作为主，在满足教学要求的前提下，尽可能结合生产进行。</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1）讲授和参观学习金属工艺学基本知识</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w:t>
            </w:r>
            <w:r>
              <w:rPr>
                <w:rFonts w:asciiTheme="minorEastAsia" w:hAnsiTheme="minorEastAsia" w:eastAsiaTheme="minorEastAsia"/>
                <w:sz w:val="15"/>
                <w:szCs w:val="15"/>
              </w:rPr>
              <w:t>钳工实习</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独立完成</w:t>
            </w:r>
            <w:r>
              <w:rPr>
                <w:rFonts w:hint="eastAsia" w:asciiTheme="minorEastAsia" w:hAnsiTheme="minorEastAsia" w:eastAsiaTheme="minorEastAsia"/>
                <w:sz w:val="15"/>
                <w:szCs w:val="15"/>
              </w:rPr>
              <w:t>压板、定位套的制作；</w:t>
            </w:r>
            <w:r>
              <w:rPr>
                <w:rFonts w:asciiTheme="minorEastAsia" w:hAnsiTheme="minorEastAsia" w:eastAsiaTheme="minorEastAsia"/>
                <w:sz w:val="15"/>
                <w:szCs w:val="15"/>
              </w:rPr>
              <w:t>独立完成中等复杂</w:t>
            </w:r>
            <w:r>
              <w:rPr>
                <w:rFonts w:hint="eastAsia" w:asciiTheme="minorEastAsia" w:hAnsiTheme="minorEastAsia" w:eastAsiaTheme="minorEastAsia"/>
                <w:sz w:val="15"/>
                <w:szCs w:val="15"/>
              </w:rPr>
              <w:t>轮盘</w:t>
            </w:r>
            <w:r>
              <w:rPr>
                <w:rFonts w:asciiTheme="minorEastAsia" w:hAnsiTheme="minorEastAsia" w:eastAsiaTheme="minorEastAsia"/>
                <w:sz w:val="15"/>
                <w:szCs w:val="15"/>
              </w:rPr>
              <w:t>类零件的划线操作；独立完成</w:t>
            </w:r>
            <w:r>
              <w:rPr>
                <w:rFonts w:hint="eastAsia" w:asciiTheme="minorEastAsia" w:hAnsiTheme="minorEastAsia" w:eastAsiaTheme="minorEastAsia"/>
                <w:sz w:val="15"/>
                <w:szCs w:val="15"/>
              </w:rPr>
              <w:t>对所加工压板、定位套的测量和技术分析。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2</w:t>
            </w:r>
          </w:p>
        </w:tc>
        <w:tc>
          <w:tcPr>
            <w:tcW w:w="709" w:type="dxa"/>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学科认知实践</w:t>
            </w:r>
          </w:p>
        </w:tc>
        <w:tc>
          <w:tcPr>
            <w:tcW w:w="709" w:type="dxa"/>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2</w:t>
            </w:r>
          </w:p>
        </w:tc>
        <w:tc>
          <w:tcPr>
            <w:tcW w:w="5302" w:type="dxa"/>
          </w:tcPr>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初步了解工业生产自动化、电力系统自动化、加工过程自动化的发展现状，了解本专业在整个行业中的地位；初步了解认识实习单位的生产工艺和流程，了解工业生产自动化、电力系统自动化、加工过程自动化在生产中的作用以及企业对本专业毕业生的要求；</w:t>
            </w:r>
            <w:r>
              <w:rPr>
                <w:rFonts w:hint="eastAsia" w:asciiTheme="minorEastAsia" w:hAnsiTheme="minorEastAsia" w:eastAsiaTheme="minorEastAsia"/>
                <w:sz w:val="15"/>
                <w:szCs w:val="15"/>
              </w:rPr>
              <w:t>增强学生的安全生产意识。</w:t>
            </w:r>
          </w:p>
        </w:tc>
        <w:tc>
          <w:tcPr>
            <w:tcW w:w="6492" w:type="dxa"/>
            <w:tcBorders>
              <w:right w:val="single" w:color="auto" w:sz="12" w:space="0"/>
            </w:tcBorders>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组织1次实习动员和安全规范教育；通过网络</w:t>
            </w:r>
            <w:r>
              <w:rPr>
                <w:rFonts w:asciiTheme="minorEastAsia" w:hAnsiTheme="minorEastAsia" w:eastAsiaTheme="minorEastAsia"/>
                <w:sz w:val="15"/>
                <w:szCs w:val="15"/>
              </w:rPr>
              <w:t>组织</w:t>
            </w:r>
            <w:r>
              <w:rPr>
                <w:rFonts w:hint="eastAsia" w:asciiTheme="minorEastAsia" w:hAnsiTheme="minorEastAsia" w:eastAsiaTheme="minorEastAsia"/>
                <w:sz w:val="15"/>
                <w:szCs w:val="15"/>
              </w:rPr>
              <w:t>搜集工业电气自动化专业的相关资料；</w:t>
            </w:r>
            <w:r>
              <w:rPr>
                <w:rFonts w:asciiTheme="minorEastAsia" w:hAnsiTheme="minorEastAsia" w:eastAsiaTheme="minorEastAsia"/>
                <w:sz w:val="15"/>
                <w:szCs w:val="15"/>
              </w:rPr>
              <w:t>参观</w:t>
            </w:r>
            <w:r>
              <w:rPr>
                <w:rFonts w:hint="eastAsia" w:asciiTheme="minorEastAsia" w:hAnsiTheme="minorEastAsia" w:eastAsiaTheme="minorEastAsia"/>
                <w:sz w:val="15"/>
                <w:szCs w:val="15"/>
              </w:rPr>
              <w:t>学校的变电站和校</w:t>
            </w:r>
            <w:r>
              <w:rPr>
                <w:rFonts w:asciiTheme="minorEastAsia" w:hAnsiTheme="minorEastAsia" w:eastAsiaTheme="minorEastAsia"/>
                <w:sz w:val="15"/>
                <w:szCs w:val="15"/>
              </w:rPr>
              <w:t>外企事业单位</w:t>
            </w:r>
            <w:r>
              <w:rPr>
                <w:rFonts w:hint="eastAsia" w:asciiTheme="minorEastAsia" w:hAnsiTheme="minorEastAsia" w:eastAsiaTheme="minorEastAsia"/>
                <w:sz w:val="15"/>
                <w:szCs w:val="15"/>
              </w:rPr>
              <w:t>；</w:t>
            </w:r>
            <w:r>
              <w:rPr>
                <w:rFonts w:asciiTheme="minorEastAsia" w:hAnsiTheme="minorEastAsia" w:eastAsiaTheme="minorEastAsia"/>
                <w:sz w:val="15"/>
                <w:szCs w:val="15"/>
              </w:rPr>
              <w:t>撰写</w:t>
            </w:r>
            <w:r>
              <w:rPr>
                <w:rFonts w:hint="eastAsia" w:asciiTheme="minorEastAsia" w:hAnsiTheme="minorEastAsia" w:eastAsiaTheme="minorEastAsia"/>
                <w:sz w:val="15"/>
                <w:szCs w:val="15"/>
              </w:rPr>
              <w:t>认知实践</w:t>
            </w:r>
            <w:r>
              <w:rPr>
                <w:rFonts w:asciiTheme="minorEastAsia" w:hAnsiTheme="minorEastAsia" w:eastAsiaTheme="minorEastAsia"/>
                <w:sz w:val="15"/>
                <w:szCs w:val="15"/>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3</w:t>
            </w:r>
          </w:p>
        </w:tc>
        <w:tc>
          <w:tcPr>
            <w:tcW w:w="709" w:type="dxa"/>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电工技术实践</w:t>
            </w:r>
          </w:p>
        </w:tc>
        <w:tc>
          <w:tcPr>
            <w:tcW w:w="709" w:type="dxa"/>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3</w:t>
            </w:r>
          </w:p>
        </w:tc>
        <w:tc>
          <w:tcPr>
            <w:tcW w:w="5302" w:type="dxa"/>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正确使用电压表、电流表和万用表能初步学会使用功率表低频信号发生器、双踪示波器、双输出直流稳压电源和晶体管毫伏表等电子仪器和设备。(2)根据电路图连接实验电路能测量各种电气参数、正确读取数据并具有分析和解释的能力。(3)能写出符合要求的实验报告、能正确绘制实验所要求的图表、具有对实验结果分析和解释的初步能力。</w:t>
            </w:r>
          </w:p>
        </w:tc>
        <w:tc>
          <w:tcPr>
            <w:tcW w:w="6492" w:type="dxa"/>
            <w:tcBorders>
              <w:right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课程设计的设计题目可由指导教师自行出题也可有学生自选题目，但设计题应满足如下原则：完整性(相对独立，自成系统)、全面性(涉及的内容尽可能广泛)、功能性(具备具体功能)。具体内容包括如下：</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(1)安全用电知识</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 常用工具的使用</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(3)一般室内电气线路的安装</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(4)常用电子仪器的使用</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(5)常用电子元器件的认识与检测</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(6)常用工具的使用</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(7)焊接工艺与焊接训练</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(8)电子整机产品装配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4</w:t>
            </w:r>
          </w:p>
        </w:tc>
        <w:tc>
          <w:tcPr>
            <w:tcW w:w="709" w:type="dxa"/>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电子技术课程设计</w:t>
            </w:r>
          </w:p>
        </w:tc>
        <w:tc>
          <w:tcPr>
            <w:tcW w:w="709" w:type="dxa"/>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4</w:t>
            </w:r>
          </w:p>
        </w:tc>
        <w:tc>
          <w:tcPr>
            <w:tcW w:w="5302" w:type="dxa"/>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（1）结合模拟电路、数字电路中所学的理论知识，独立设计方案，培养学生独立分析与解决问题的能力；</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（2）学会查阅相关手册和资料，通过查阅手册和资料，进一步熟悉常用电子器件的类型和特性，并掌握合理选用的原则；</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（3）学会使用常用电子元器件（包括中规模芯片、专用芯片和可编程器件。</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（4）掌握基本的现代电子技术设计工具和EDA技术；</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（5）掌握电子电路的安装与调试技术，进一步熟悉电子仪器的使用方法；</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（6）认真撰写总结报告，培养严谨的作风和科学的态度；</w:t>
            </w:r>
          </w:p>
        </w:tc>
        <w:tc>
          <w:tcPr>
            <w:tcW w:w="6492" w:type="dxa"/>
            <w:tcBorders>
              <w:right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课程设计有关常识以学生自学为主，实践教学中教师以讲授、辅导、讨论和研究相结合的方法进行，着重就设计题目的要求对设计思路、设计方案的形成、电路调试和参数测量展开讨论。</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由指导教师下达设计任务（学生自选题目需要通过指导教师审核），由学生完成方案设计，设计方案得仿真分析，原理图和印刷电路图的制作，硬件制作，电路系统调试，并撰写设计报告，设计的整个过程在创新实验室和电子工艺实验室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5</w:t>
            </w:r>
          </w:p>
        </w:tc>
        <w:tc>
          <w:tcPr>
            <w:tcW w:w="709" w:type="dxa"/>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系统设计与实践</w:t>
            </w:r>
          </w:p>
        </w:tc>
        <w:tc>
          <w:tcPr>
            <w:tcW w:w="709" w:type="dxa"/>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5</w:t>
            </w:r>
          </w:p>
        </w:tc>
        <w:tc>
          <w:tcPr>
            <w:tcW w:w="5302" w:type="dxa"/>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1)选题合理、目的明确</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2）设计方案正确，具有可行性、创新性</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3）设计结果，如硬件成果、软件程序能够正常工作</w:t>
            </w:r>
          </w:p>
        </w:tc>
        <w:tc>
          <w:tcPr>
            <w:tcW w:w="6492" w:type="dxa"/>
            <w:tcBorders>
              <w:right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系统设计与实践的设计题目可由指导教师自行出题也可有学生自选题目，但设计题应满足如下原则：</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1)完整性——相对独立，自成系统。</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2)全面性——涉及的内容尽可能广泛。</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3)功能性——具备具体功能。</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学生分组选定课题；用电子线路辅助设计和分析工具软件完成课题的低频、高频和数字电路的单元设计和混合电路设计。用上述软件进一步完成系统的仿真分析、噪声分析、极限分析和频谱分析。用PROTEL印制板工具软件完成电路的布局、布线工作。在实验室用布线板实际完成各单元电路的焊接制作和系统的联调工作。用微机、单片机开发系统和可编程逻辑器件实现系统的在线调试，最终实现样机的脱机运行。学生提交制做的实物和用WORD编辑的设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6</w:t>
            </w:r>
          </w:p>
        </w:tc>
        <w:tc>
          <w:tcPr>
            <w:tcW w:w="709" w:type="dxa"/>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工程项目设计与实践</w:t>
            </w:r>
          </w:p>
        </w:tc>
        <w:tc>
          <w:tcPr>
            <w:tcW w:w="709" w:type="dxa"/>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6</w:t>
            </w:r>
          </w:p>
        </w:tc>
        <w:tc>
          <w:tcPr>
            <w:tcW w:w="5302" w:type="dxa"/>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工程项目设计训练的主要内容包括项目理论分析、项目实施的可行性分析、方案设计和实施和总结报告等。项目的可行性分析和技术路线的制定是课程设计的关键环节，通过分析和设计，使项目达到课题所要求的指标，使理论设计符合实际产品的需求。课程设计的最后要求是写出项目方案论证、项目的技术路线和设计总结报告。</w:t>
            </w:r>
          </w:p>
        </w:tc>
        <w:tc>
          <w:tcPr>
            <w:tcW w:w="6492" w:type="dxa"/>
            <w:tcBorders>
              <w:right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由指导教师下达设计任务（学生自选题目需要通过指导教师审核），由学生完成项目方案设计与论证，可行性分析、技术路线的制定、硬件制作，软件编制，系统调试，并撰写设计报告，设计的整个过程在创新实验室完成。</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指导教师对工程设计训练的顺利进行及其质量保证起主导作用，在工程训练期间，指导教师应重视学生独立分析、解决问题、实践能力和创新能力的培养，围绕工程训练，对学生进行相关知识、技能的传授和训练，特别是工程实践能力的全面训练。</w:t>
            </w:r>
          </w:p>
          <w:p>
            <w:pPr>
              <w:spacing w:line="240" w:lineRule="atLeast"/>
              <w:ind w:firstLine="300" w:firstLineChars="200"/>
              <w:rPr>
                <w:rFonts w:asciiTheme="minorEastAsia" w:hAnsiTheme="minorEastAsia"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393" w:type="dxa"/>
            <w:tcBorders>
              <w:left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7</w:t>
            </w:r>
          </w:p>
        </w:tc>
        <w:tc>
          <w:tcPr>
            <w:tcW w:w="709" w:type="dxa"/>
            <w:vAlign w:val="center"/>
          </w:tcPr>
          <w:p>
            <w:pPr>
              <w:spacing w:line="240" w:lineRule="atLeast"/>
              <w:jc w:val="left"/>
              <w:rPr>
                <w:rFonts w:asciiTheme="minorEastAsia" w:hAnsiTheme="minorEastAsia" w:eastAsiaTheme="minorEastAsia"/>
                <w:sz w:val="15"/>
                <w:szCs w:val="15"/>
              </w:rPr>
            </w:pPr>
            <w:r>
              <w:rPr>
                <w:rFonts w:hint="eastAsia" w:asciiTheme="minorEastAsia" w:hAnsiTheme="minorEastAsia" w:eastAsiaTheme="minorEastAsia"/>
                <w:sz w:val="15"/>
                <w:szCs w:val="15"/>
              </w:rPr>
              <w:t>毕业设计（论文）</w:t>
            </w:r>
          </w:p>
        </w:tc>
        <w:tc>
          <w:tcPr>
            <w:tcW w:w="709" w:type="dxa"/>
            <w:vAlign w:val="center"/>
          </w:tcPr>
          <w:p>
            <w:pPr>
              <w:spacing w:line="240" w:lineRule="atLeast"/>
              <w:ind w:firstLine="300" w:firstLineChars="200"/>
              <w:rPr>
                <w:rFonts w:asciiTheme="minorEastAsia" w:hAnsiTheme="minorEastAsia" w:eastAsiaTheme="minorEastAsia"/>
                <w:sz w:val="15"/>
                <w:szCs w:val="15"/>
              </w:rPr>
            </w:pPr>
          </w:p>
        </w:tc>
        <w:tc>
          <w:tcPr>
            <w:tcW w:w="5302" w:type="dxa"/>
          </w:tcPr>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（一）毕业设计（论文）一般采用答辩形式进行考核。答辩内容：包括课题的关键问题与课题密切相关的专业知识、基础理论、基本设计</w:t>
            </w:r>
            <w:r>
              <w:rPr>
                <w:rFonts w:hint="eastAsia" w:asciiTheme="minorEastAsia" w:hAnsiTheme="minorEastAsia" w:eastAsiaTheme="minorEastAsia"/>
                <w:sz w:val="15"/>
                <w:szCs w:val="15"/>
              </w:rPr>
              <w:t>技巧、实验方法及</w:t>
            </w:r>
            <w:r>
              <w:rPr>
                <w:rFonts w:asciiTheme="minorEastAsia" w:hAnsiTheme="minorEastAsia" w:eastAsiaTheme="minorEastAsia"/>
                <w:sz w:val="15"/>
                <w:szCs w:val="15"/>
              </w:rPr>
              <w:t>计算方法等。</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（二）毕业设计(论文)的综合成绩由</w:t>
            </w:r>
            <w:r>
              <w:rPr>
                <w:rFonts w:hint="eastAsia" w:asciiTheme="minorEastAsia" w:hAnsiTheme="minorEastAsia" w:eastAsiaTheme="minorEastAsia"/>
                <w:sz w:val="15"/>
                <w:szCs w:val="15"/>
              </w:rPr>
              <w:t>指导教师</w:t>
            </w:r>
            <w:r>
              <w:rPr>
                <w:rFonts w:asciiTheme="minorEastAsia" w:hAnsiTheme="minorEastAsia" w:eastAsiaTheme="minorEastAsia"/>
                <w:sz w:val="15"/>
                <w:szCs w:val="15"/>
              </w:rPr>
              <w:t>评阅成绩、</w:t>
            </w:r>
            <w:r>
              <w:rPr>
                <w:rFonts w:hint="eastAsia" w:asciiTheme="minorEastAsia" w:hAnsiTheme="minorEastAsia" w:eastAsiaTheme="minorEastAsia"/>
                <w:sz w:val="15"/>
                <w:szCs w:val="15"/>
              </w:rPr>
              <w:t>评阅教师评阅</w:t>
            </w:r>
            <w:r>
              <w:rPr>
                <w:rFonts w:asciiTheme="minorEastAsia" w:hAnsiTheme="minorEastAsia" w:eastAsiaTheme="minorEastAsia"/>
                <w:sz w:val="15"/>
                <w:szCs w:val="15"/>
              </w:rPr>
              <w:t>成绩、</w:t>
            </w:r>
            <w:r>
              <w:rPr>
                <w:rFonts w:hint="eastAsia" w:asciiTheme="minorEastAsia" w:hAnsiTheme="minorEastAsia" w:eastAsiaTheme="minorEastAsia"/>
                <w:sz w:val="15"/>
                <w:szCs w:val="15"/>
              </w:rPr>
              <w:t>和</w:t>
            </w:r>
            <w:r>
              <w:rPr>
                <w:rFonts w:asciiTheme="minorEastAsia" w:hAnsiTheme="minorEastAsia" w:eastAsiaTheme="minorEastAsia"/>
                <w:sz w:val="15"/>
                <w:szCs w:val="15"/>
              </w:rPr>
              <w:t>答辩成绩</w:t>
            </w:r>
            <w:r>
              <w:rPr>
                <w:rFonts w:hint="eastAsia" w:asciiTheme="minorEastAsia" w:hAnsiTheme="minorEastAsia" w:eastAsiaTheme="minorEastAsia"/>
                <w:sz w:val="15"/>
                <w:szCs w:val="15"/>
              </w:rPr>
              <w:t>三</w:t>
            </w:r>
            <w:r>
              <w:rPr>
                <w:rFonts w:asciiTheme="minorEastAsia" w:hAnsiTheme="minorEastAsia" w:eastAsiaTheme="minorEastAsia"/>
                <w:sz w:val="15"/>
                <w:szCs w:val="15"/>
              </w:rPr>
              <w:t>部分组成。</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1</w:t>
            </w:r>
            <w:r>
              <w:rPr>
                <w:rFonts w:hint="eastAsia" w:asciiTheme="minorEastAsia" w:hAnsiTheme="minorEastAsia" w:eastAsiaTheme="minorEastAsia"/>
                <w:sz w:val="15"/>
                <w:szCs w:val="15"/>
              </w:rPr>
              <w:t>、指导教师评阅</w:t>
            </w:r>
            <w:r>
              <w:rPr>
                <w:rFonts w:asciiTheme="minorEastAsia" w:hAnsiTheme="minorEastAsia" w:eastAsiaTheme="minorEastAsia"/>
                <w:sz w:val="15"/>
                <w:szCs w:val="15"/>
              </w:rPr>
              <w:t>成绩占30%，由指导教师根据下列条件评定：</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（1）是否按时完成毕业设计(论文)各阶段所要求的工作</w:t>
            </w:r>
            <w:r>
              <w:rPr>
                <w:rFonts w:hint="eastAsia" w:asciiTheme="minorEastAsia" w:hAnsiTheme="minorEastAsia" w:eastAsiaTheme="minorEastAsia"/>
                <w:sz w:val="15"/>
                <w:szCs w:val="15"/>
              </w:rPr>
              <w:t>进行毕业设计</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（2）综合运用所学知识分析与解决问题的能力、独立工作能力和实际动手能力；</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 xml:space="preserve">（3）工作态度及遵守纪律情况。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2</w:t>
            </w:r>
            <w:r>
              <w:rPr>
                <w:rFonts w:hint="eastAsia" w:asciiTheme="minorEastAsia" w:hAnsiTheme="minorEastAsia" w:eastAsiaTheme="minorEastAsia"/>
                <w:sz w:val="15"/>
                <w:szCs w:val="15"/>
              </w:rPr>
              <w:t>、</w:t>
            </w:r>
            <w:r>
              <w:rPr>
                <w:rFonts w:asciiTheme="minorEastAsia" w:hAnsiTheme="minorEastAsia" w:eastAsiaTheme="minorEastAsia"/>
                <w:sz w:val="15"/>
                <w:szCs w:val="15"/>
              </w:rPr>
              <w:t>评阅</w:t>
            </w:r>
            <w:r>
              <w:rPr>
                <w:rFonts w:hint="eastAsia" w:asciiTheme="minorEastAsia" w:hAnsiTheme="minorEastAsia" w:eastAsiaTheme="minorEastAsia"/>
                <w:sz w:val="15"/>
                <w:szCs w:val="15"/>
              </w:rPr>
              <w:t>教师</w:t>
            </w:r>
            <w:r>
              <w:rPr>
                <w:rFonts w:asciiTheme="minorEastAsia" w:hAnsiTheme="minorEastAsia" w:eastAsiaTheme="minorEastAsia"/>
                <w:sz w:val="15"/>
                <w:szCs w:val="15"/>
              </w:rPr>
              <w:t>成绩占30%, 由论文审阅教师根据下列条件评定：</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 xml:space="preserve">（1）是否按任务书要求出成果;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（2）论文结构是否合理，对</w:t>
            </w:r>
            <w:r>
              <w:rPr>
                <w:rFonts w:hint="eastAsia" w:asciiTheme="minorEastAsia" w:hAnsiTheme="minorEastAsia" w:eastAsiaTheme="minorEastAsia"/>
                <w:sz w:val="15"/>
                <w:szCs w:val="15"/>
              </w:rPr>
              <w:t>设计</w:t>
            </w:r>
            <w:r>
              <w:rPr>
                <w:rFonts w:asciiTheme="minorEastAsia" w:hAnsiTheme="minorEastAsia" w:eastAsiaTheme="minorEastAsia"/>
                <w:sz w:val="15"/>
                <w:szCs w:val="15"/>
              </w:rPr>
              <w:t xml:space="preserve">方案的论述是否正确；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（3）实验</w:t>
            </w:r>
            <w:r>
              <w:rPr>
                <w:rFonts w:hint="eastAsia" w:asciiTheme="minorEastAsia" w:hAnsiTheme="minorEastAsia" w:eastAsiaTheme="minorEastAsia"/>
                <w:sz w:val="15"/>
                <w:szCs w:val="15"/>
              </w:rPr>
              <w:t>（设计）</w:t>
            </w:r>
            <w:r>
              <w:rPr>
                <w:rFonts w:asciiTheme="minorEastAsia" w:hAnsiTheme="minorEastAsia" w:eastAsiaTheme="minorEastAsia"/>
                <w:sz w:val="15"/>
                <w:szCs w:val="15"/>
              </w:rPr>
              <w:t>数据是否可靠,实验</w:t>
            </w:r>
            <w:r>
              <w:rPr>
                <w:rFonts w:hint="eastAsia" w:asciiTheme="minorEastAsia" w:hAnsiTheme="minorEastAsia" w:eastAsiaTheme="minorEastAsia"/>
                <w:sz w:val="15"/>
                <w:szCs w:val="15"/>
              </w:rPr>
              <w:t>（设计）</w:t>
            </w:r>
            <w:r>
              <w:rPr>
                <w:rFonts w:asciiTheme="minorEastAsia" w:hAnsiTheme="minorEastAsia" w:eastAsiaTheme="minorEastAsia"/>
                <w:sz w:val="15"/>
                <w:szCs w:val="15"/>
              </w:rPr>
              <w:t xml:space="preserve">结果是否正确;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（4）设计</w:t>
            </w:r>
            <w:r>
              <w:rPr>
                <w:rFonts w:hint="eastAsia" w:asciiTheme="minorEastAsia" w:hAnsiTheme="minorEastAsia" w:eastAsiaTheme="minorEastAsia"/>
                <w:sz w:val="15"/>
                <w:szCs w:val="15"/>
              </w:rPr>
              <w:t>的各种</w:t>
            </w:r>
            <w:r>
              <w:rPr>
                <w:rFonts w:asciiTheme="minorEastAsia" w:hAnsiTheme="minorEastAsia" w:eastAsiaTheme="minorEastAsia"/>
                <w:sz w:val="15"/>
                <w:szCs w:val="15"/>
              </w:rPr>
              <w:t>图</w:t>
            </w:r>
            <w:r>
              <w:rPr>
                <w:rFonts w:hint="eastAsia" w:asciiTheme="minorEastAsia" w:hAnsiTheme="minorEastAsia" w:eastAsiaTheme="minorEastAsia"/>
                <w:sz w:val="15"/>
                <w:szCs w:val="15"/>
              </w:rPr>
              <w:t>表</w:t>
            </w:r>
            <w:r>
              <w:rPr>
                <w:rFonts w:asciiTheme="minorEastAsia" w:hAnsiTheme="minorEastAsia" w:eastAsiaTheme="minorEastAsia"/>
                <w:sz w:val="15"/>
                <w:szCs w:val="15"/>
              </w:rPr>
              <w:t xml:space="preserve">的质量是否标准;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（5）论证、分析、</w:t>
            </w:r>
            <w:r>
              <w:rPr>
                <w:rFonts w:hint="eastAsia" w:asciiTheme="minorEastAsia" w:hAnsiTheme="minorEastAsia" w:eastAsiaTheme="minorEastAsia"/>
                <w:sz w:val="15"/>
                <w:szCs w:val="15"/>
              </w:rPr>
              <w:t>系统设计及</w:t>
            </w:r>
            <w:r>
              <w:rPr>
                <w:rFonts w:asciiTheme="minorEastAsia" w:hAnsiTheme="minorEastAsia" w:eastAsiaTheme="minorEastAsia"/>
                <w:sz w:val="15"/>
                <w:szCs w:val="15"/>
              </w:rPr>
              <w:t>计算和结论是否正确；</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（6）论文中所表述的基本概念是否清楚，基础知识和专业知识的掌握是否牢固扎实；</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 xml:space="preserve">（7）文字表达是否通顺无误。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3</w:t>
            </w:r>
            <w:r>
              <w:rPr>
                <w:rFonts w:hint="eastAsia" w:asciiTheme="minorEastAsia" w:hAnsiTheme="minorEastAsia" w:eastAsiaTheme="minorEastAsia"/>
                <w:sz w:val="15"/>
                <w:szCs w:val="15"/>
              </w:rPr>
              <w:t>、</w:t>
            </w:r>
            <w:r>
              <w:rPr>
                <w:rFonts w:asciiTheme="minorEastAsia" w:hAnsiTheme="minorEastAsia" w:eastAsiaTheme="minorEastAsia"/>
                <w:sz w:val="15"/>
                <w:szCs w:val="15"/>
              </w:rPr>
              <w:t>答辩成绩占40%</w:t>
            </w:r>
            <w:r>
              <w:rPr>
                <w:rFonts w:hint="eastAsia" w:asciiTheme="minorEastAsia" w:hAnsiTheme="minorEastAsia" w:eastAsiaTheme="minorEastAsia"/>
                <w:sz w:val="15"/>
                <w:szCs w:val="15"/>
              </w:rPr>
              <w:t>（一般由两部分组成，一是答辩成绩占70%,二是实物验收成绩占30%，无实物的答辩成绩占100%）</w:t>
            </w:r>
            <w:r>
              <w:rPr>
                <w:rFonts w:asciiTheme="minorEastAsia" w:hAnsiTheme="minorEastAsia" w:eastAsiaTheme="minorEastAsia"/>
                <w:sz w:val="15"/>
                <w:szCs w:val="15"/>
              </w:rPr>
              <w:t xml:space="preserve">。由答辩小组集体评定，评分依据如下：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 xml:space="preserve">（1）在答辩中,基本概念是否清楚, 基础知识和专业知识的掌握是否牢固扎实;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 xml:space="preserve">（2）在答辩过程中的自述是否简明无误; </w:t>
            </w:r>
          </w:p>
          <w:p>
            <w:pPr>
              <w:spacing w:line="240" w:lineRule="atLeast"/>
              <w:rPr>
                <w:rFonts w:asciiTheme="minorEastAsia" w:hAnsiTheme="minorEastAsia" w:eastAsiaTheme="minorEastAsia"/>
                <w:sz w:val="15"/>
                <w:szCs w:val="15"/>
              </w:rPr>
            </w:pPr>
            <w:r>
              <w:rPr>
                <w:rFonts w:asciiTheme="minorEastAsia" w:hAnsiTheme="minorEastAsia" w:eastAsiaTheme="minorEastAsia"/>
                <w:sz w:val="15"/>
                <w:szCs w:val="15"/>
              </w:rPr>
              <w:t>（3）能否正确回答问题,特别是本课题范围内的基本理论和基本技能问题;</w:t>
            </w:r>
          </w:p>
        </w:tc>
        <w:tc>
          <w:tcPr>
            <w:tcW w:w="6492" w:type="dxa"/>
            <w:tcBorders>
              <w:right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1.选题</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毕业设计题目原则上一人一题，难易要适当，分量要合理，过程要完整，题目不能过大或过小，研究题目不能多年使用。学生可根据自己的兴趣、爱好及特长等自主选择，也可在教师指导下完成。</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2.下达任务书</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指导教师或指导小组根据每个学生的选题情况和学校对毕业设计（论文）的具体要求下达毕业设计（论文）任务书。</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3.调研收集资料及开题论证</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开题论证包括项目概述、立项的必要性及意义、国内外现状及发展趋势、目标、项目主要研究内容及关键技术、技术路线、主要技术指标、进度安排、研究与技术开发基础和支撑条件分析、预期成果的经济效益、社会效益前期应用前景评价、与本设计项目有关的专刊和资料检索及文献综述等。重点是研究目标、项目主要研究内容、关键技术及技术路线。具体要求是分组举行开题答辩，通过者进入下一阶段。</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4.设计/论文过程</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（1）进度监控</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 xml:space="preserve">  根据教师下达的任务书及学生制定的开题设计，严格按照题目的进度安排，在教师的指导下分步实施。若遇特殊情况出现进度异常，由指导教师做出合理的调整。</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（2）质量监控</w:t>
            </w:r>
            <w:r>
              <w:rPr>
                <w:rFonts w:hint="eastAsia" w:asciiTheme="minorEastAsia" w:hAnsiTheme="minorEastAsia" w:eastAsiaTheme="minorEastAsia"/>
                <w:sz w:val="15"/>
                <w:szCs w:val="15"/>
              </w:rPr>
              <w:tab/>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 xml:space="preserve">    教师每周至少与学生见面2次以上，时间不少于2小时。若遇出差等情况，应委托其他教师代为指导。根据各阶段的研究内容，教师重点检查学生的阶段成果是否达到设计要求，并对存在的问题做出合理的解决方案。</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（3）中期检查</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在课题研究进入中期时，学院应组织一次全面的检查，达到设计要求的给予鼓励或表扬，存在问题的学生应及时提醒，对出现严重问题的学生应给予警告。同时责成指导教师敦促学生进行及时改进。</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（4）建立考勤制度</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为了确保毕业设计的正常进行，应安排专门的实验场所供学生完成毕业设计，每天进行考勤，有事必须向指导教师请假，超过1周时间应向学院请假。</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若在进度、质量、中检及考勤中出现严重问题的学生，由院出示黄牌警告，极其严重者可终止毕业设计。如事先未向指导教师请假，作为旷课处理，凡随机抽查三次不到者，评分降低一个等级，累计旷课时间达到全过程三分之一者，取消答辩资格。</w:t>
            </w:r>
          </w:p>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5.设计说明书/论文撰写</w:t>
            </w:r>
          </w:p>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学生撰写毕业设计(论文)时，做到条理清晰，逻辑性强，符合科技写作规范，并严格按照学校所规定的本科生毕业设计(论文)要求进行撰写、打印和装订。毕业设计(论文)字数不得少于8千字。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393" w:type="dxa"/>
            <w:tcBorders>
              <w:left w:val="single" w:color="auto" w:sz="12" w:space="0"/>
              <w:bottom w:val="single" w:color="auto" w:sz="12" w:space="0"/>
            </w:tcBorders>
            <w:vAlign w:val="center"/>
          </w:tcPr>
          <w:p>
            <w:pPr>
              <w:spacing w:line="240" w:lineRule="atLeast"/>
              <w:ind w:firstLine="150" w:firstLineChars="100"/>
              <w:rPr>
                <w:rFonts w:asciiTheme="minorEastAsia" w:hAnsiTheme="minorEastAsia" w:eastAsiaTheme="minorEastAsia"/>
                <w:sz w:val="15"/>
                <w:szCs w:val="15"/>
              </w:rPr>
            </w:pPr>
            <w:r>
              <w:rPr>
                <w:rFonts w:hint="eastAsia" w:asciiTheme="minorEastAsia" w:hAnsiTheme="minorEastAsia" w:eastAsiaTheme="minorEastAsia"/>
                <w:sz w:val="15"/>
                <w:szCs w:val="15"/>
              </w:rPr>
              <w:t>8</w:t>
            </w:r>
          </w:p>
        </w:tc>
        <w:tc>
          <w:tcPr>
            <w:tcW w:w="709" w:type="dxa"/>
            <w:tcBorders>
              <w:bottom w:val="single" w:color="auto" w:sz="12" w:space="0"/>
            </w:tcBorders>
            <w:vAlign w:val="center"/>
          </w:tcPr>
          <w:p>
            <w:pPr>
              <w:spacing w:line="240" w:lineRule="atLeast"/>
              <w:jc w:val="left"/>
              <w:rPr>
                <w:rFonts w:asciiTheme="minorEastAsia" w:hAnsiTheme="minorEastAsia" w:eastAsiaTheme="minorEastAsia"/>
                <w:sz w:val="15"/>
                <w:szCs w:val="15"/>
              </w:rPr>
            </w:pPr>
            <w:r>
              <w:rPr>
                <w:rFonts w:asciiTheme="minorEastAsia" w:hAnsiTheme="minorEastAsia" w:eastAsiaTheme="minorEastAsia"/>
                <w:sz w:val="15"/>
                <w:szCs w:val="15"/>
              </w:rPr>
              <w:t>生产实习</w:t>
            </w:r>
          </w:p>
        </w:tc>
        <w:tc>
          <w:tcPr>
            <w:tcW w:w="709" w:type="dxa"/>
            <w:tcBorders>
              <w:bottom w:val="single" w:color="auto" w:sz="12" w:space="0"/>
            </w:tcBorders>
            <w:vAlign w:val="center"/>
          </w:tcPr>
          <w:p>
            <w:pPr>
              <w:spacing w:line="240" w:lineRule="atLeast"/>
              <w:ind w:firstLine="300" w:firstLineChars="200"/>
              <w:rPr>
                <w:rFonts w:asciiTheme="minorEastAsia" w:hAnsiTheme="minorEastAsia" w:eastAsiaTheme="minorEastAsia"/>
                <w:sz w:val="15"/>
                <w:szCs w:val="15"/>
              </w:rPr>
            </w:pPr>
            <w:r>
              <w:rPr>
                <w:rFonts w:hint="eastAsia" w:asciiTheme="minorEastAsia" w:hAnsiTheme="minorEastAsia" w:eastAsiaTheme="minorEastAsia"/>
                <w:sz w:val="15"/>
                <w:szCs w:val="15"/>
              </w:rPr>
              <w:t>8</w:t>
            </w:r>
          </w:p>
        </w:tc>
        <w:tc>
          <w:tcPr>
            <w:tcW w:w="5302" w:type="dxa"/>
            <w:tcBorders>
              <w:bottom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对每个学生的实习情况进行考核，具体考核办法如下：实习企业指导教师根据学生的实习情况（出勤情况、工作态度、实习表现、实习成果等）进行考核并打分。学校指导教师对学生提交的实习报告打分。两个指导教师打分的平均值为该学生的实习成绩，并以五级分制判定成绩。实习成绩考核分为优秀（90分以上）、良好（80-90分）、中等（70-80分）、及格（60-70分）、不及格（60分以下）五个等级。</w:t>
            </w:r>
          </w:p>
        </w:tc>
        <w:tc>
          <w:tcPr>
            <w:tcW w:w="6492" w:type="dxa"/>
            <w:tcBorders>
              <w:bottom w:val="single" w:color="auto" w:sz="12" w:space="0"/>
              <w:right w:val="single" w:color="auto" w:sz="12" w:space="0"/>
            </w:tcBorders>
          </w:tcPr>
          <w:p>
            <w:pPr>
              <w:spacing w:line="240" w:lineRule="atLeast"/>
              <w:rPr>
                <w:rFonts w:asciiTheme="minorEastAsia" w:hAnsiTheme="minorEastAsia" w:eastAsiaTheme="minorEastAsia"/>
                <w:sz w:val="15"/>
                <w:szCs w:val="15"/>
              </w:rPr>
            </w:pPr>
            <w:r>
              <w:rPr>
                <w:rFonts w:hint="eastAsia" w:asciiTheme="minorEastAsia" w:hAnsiTheme="minorEastAsia" w:eastAsiaTheme="minorEastAsia"/>
                <w:sz w:val="15"/>
                <w:szCs w:val="15"/>
              </w:rPr>
              <w:t>使学生通过实践了解和掌握某项电子信息产品及系统的生产环节,建立电子信息产品生产流程概念。比较深入的了解生产工艺过程、掌握电子信息产品的工作原理。通过生产实习培养学生掌握电子信息产品的组装和调试方法的技能。并获得组织和管理生产的初步知识。通过实践巩固已学过的知识。建立由单元电路到组成产品的系统过程。通过收集阅读和分析理解产品的有关资料，加强学生理论联系实际，提高在生产实践中调查研究、观察问题分析问题以及解决问题的能力和方法。</w:t>
            </w:r>
          </w:p>
        </w:tc>
      </w:tr>
    </w:tbl>
    <w:p>
      <w:pPr>
        <w:spacing w:line="500" w:lineRule="exact"/>
        <w:ind w:firstLine="472" w:firstLineChars="196"/>
        <w:rPr>
          <w:rFonts w:ascii="仿宋_GB2312" w:hAnsi="宋体" w:eastAsia="仿宋_GB2312"/>
          <w:b/>
          <w:sz w:val="24"/>
        </w:rPr>
        <w:sectPr>
          <w:pgSz w:w="16838" w:h="11906" w:orient="landscape"/>
          <w:pgMar w:top="1800" w:right="1440" w:bottom="1800" w:left="1843" w:header="851" w:footer="992" w:gutter="0"/>
          <w:cols w:space="425" w:num="1"/>
          <w:docGrid w:type="lines" w:linePitch="312" w:charSpace="0"/>
        </w:sectPr>
      </w:pPr>
    </w:p>
    <w:p>
      <w:pPr>
        <w:spacing w:line="500" w:lineRule="exact"/>
        <w:ind w:firstLine="472" w:firstLineChars="196"/>
        <w:rPr>
          <w:rFonts w:ascii="仿宋_GB2312" w:hAnsi="宋体" w:eastAsia="仿宋_GB2312"/>
          <w:b/>
          <w:sz w:val="24"/>
        </w:rPr>
      </w:pPr>
    </w:p>
    <w:p>
      <w:pPr>
        <w:adjustRightInd w:val="0"/>
        <w:snapToGrid w:val="0"/>
        <w:spacing w:line="360" w:lineRule="auto"/>
        <w:rPr>
          <w:rFonts w:ascii="仿宋_GB2312" w:hAnsi="宋体" w:eastAsia="仿宋_GB2312" w:cs="宋体"/>
          <w:b/>
          <w:kern w:val="0"/>
          <w:sz w:val="24"/>
        </w:rPr>
      </w:pPr>
      <w:r>
        <w:rPr>
          <w:rFonts w:hint="eastAsia" w:ascii="仿宋_GB2312" w:hAnsi="宋体" w:eastAsia="仿宋_GB2312" w:cs="宋体"/>
          <w:b/>
          <w:kern w:val="0"/>
          <w:sz w:val="24"/>
        </w:rPr>
        <w:t>六、教育活动周数</w:t>
      </w:r>
    </w:p>
    <w:p>
      <w:pPr>
        <w:widowControl/>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每学年分上、下两个学期，原则上每学期教育、教学、复习和考试共19周。四年教育活动总周数为151周。</w:t>
      </w:r>
    </w:p>
    <w:p>
      <w:pPr>
        <w:spacing w:line="540" w:lineRule="exact"/>
        <w:ind w:firstLine="422" w:firstLineChars="200"/>
        <w:jc w:val="center"/>
        <w:rPr>
          <w:rFonts w:ascii="仿宋_GB2312" w:eastAsia="仿宋_GB2312"/>
          <w:b/>
          <w:szCs w:val="21"/>
        </w:rPr>
      </w:pPr>
      <w:r>
        <w:rPr>
          <w:rFonts w:hint="eastAsia" w:ascii="仿宋_GB2312" w:eastAsia="仿宋_GB2312"/>
          <w:b/>
          <w:szCs w:val="21"/>
        </w:rPr>
        <w:t>四年制本科专业教育活动时间安排表</w:t>
      </w:r>
    </w:p>
    <w:tbl>
      <w:tblPr>
        <w:tblStyle w:val="15"/>
        <w:tblW w:w="886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05"/>
        <w:gridCol w:w="601"/>
        <w:gridCol w:w="540"/>
        <w:gridCol w:w="540"/>
        <w:gridCol w:w="585"/>
        <w:gridCol w:w="641"/>
        <w:gridCol w:w="900"/>
        <w:gridCol w:w="720"/>
        <w:gridCol w:w="720"/>
        <w:gridCol w:w="720"/>
        <w:gridCol w:w="871"/>
        <w:gridCol w:w="8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26" w:hRule="atLeast"/>
          <w:jc w:val="center"/>
        </w:trPr>
        <w:tc>
          <w:tcPr>
            <w:tcW w:w="1205" w:type="dxa"/>
            <w:vMerge w:val="restart"/>
          </w:tcPr>
          <w:p>
            <w:pPr>
              <w:spacing w:line="360" w:lineRule="exact"/>
              <w:ind w:firstLine="360" w:firstLineChars="200"/>
              <w:rPr>
                <w:rFonts w:ascii="仿宋_GB2312" w:eastAsia="仿宋_GB2312"/>
                <w:sz w:val="18"/>
                <w:szCs w:val="18"/>
              </w:rPr>
            </w:pPr>
            <w:r>
              <w:rPr>
                <w:rFonts w:ascii="仿宋_GB2312" w:eastAsia="仿宋_GB2312"/>
                <w:sz w:val="18"/>
                <w:szCs w:val="18"/>
              </w:rPr>
              <mc:AlternateContent>
                <mc:Choice Requires="wps">
                  <w:drawing>
                    <wp:anchor distT="0" distB="0" distL="114300" distR="114300" simplePos="0" relativeHeight="251668480" behindDoc="0" locked="0" layoutInCell="1" allowOverlap="1">
                      <wp:simplePos x="0" y="0"/>
                      <wp:positionH relativeFrom="column">
                        <wp:posOffset>-67945</wp:posOffset>
                      </wp:positionH>
                      <wp:positionV relativeFrom="paragraph">
                        <wp:posOffset>-17145</wp:posOffset>
                      </wp:positionV>
                      <wp:extent cx="757555" cy="1119505"/>
                      <wp:effectExtent l="3810" t="2540" r="19685" b="20955"/>
                      <wp:wrapNone/>
                      <wp:docPr id="3" name="Freeform 5"/>
                      <wp:cNvGraphicFramePr/>
                      <a:graphic xmlns:a="http://schemas.openxmlformats.org/drawingml/2006/main">
                        <a:graphicData uri="http://schemas.microsoft.com/office/word/2010/wordprocessingShape">
                          <wps:wsp>
                            <wps:cNvSpPr/>
                            <wps:spPr bwMode="auto">
                              <a:xfrm>
                                <a:off x="0" y="0"/>
                                <a:ext cx="757555" cy="1119505"/>
                              </a:xfrm>
                              <a:custGeom>
                                <a:avLst/>
                                <a:gdLst>
                                  <a:gd name="T0" fmla="*/ 1075 w 1075"/>
                                  <a:gd name="T1" fmla="*/ 1440 h 1440"/>
                                  <a:gd name="T2" fmla="*/ 0 w 1075"/>
                                  <a:gd name="T3" fmla="*/ 0 h 1440"/>
                                </a:gdLst>
                                <a:ahLst/>
                                <a:cxnLst>
                                  <a:cxn ang="0">
                                    <a:pos x="T0" y="T1"/>
                                  </a:cxn>
                                  <a:cxn ang="0">
                                    <a:pos x="T2" y="T3"/>
                                  </a:cxn>
                                </a:cxnLst>
                                <a:rect l="0" t="0" r="r" b="b"/>
                                <a:pathLst>
                                  <a:path w="1075" h="1440">
                                    <a:moveTo>
                                      <a:pt x="1075" y="1440"/>
                                    </a:moveTo>
                                    <a:lnTo>
                                      <a:pt x="0" y="0"/>
                                    </a:lnTo>
                                  </a:path>
                                </a:pathLst>
                              </a:custGeom>
                              <a:no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shape id="Freeform 5" o:spid="_x0000_s1026" o:spt="100" style="position:absolute;left:0pt;margin-left:-5.35pt;margin-top:-1.35pt;height:88.15pt;width:59.65pt;z-index:251668480;mso-width-relative:page;mso-height-relative:page;" filled="f" stroked="t" coordsize="1075,1440" o:gfxdata="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4QaKV9cAAAAKAQAA&#10;DwAAAAAAAAABACAAAAAiAAAAZHJzL2Rvd25yZXYueG1sUEsBAhQAFAAAAAgAh07iQPWjg/6MAgAA&#10;jgUAAA4AAAAAAAAAAQAgAAAAJgEAAGRycy9lMm9Eb2MueG1sUEsFBgAAAAAGAAYAWQEAACQGAAAA&#10;AA==&#10;" path="m1075,1440l0,0e">
                      <v:path o:connectlocs="757555,1119505;0,0" o:connectangles="0,0"/>
                      <v:fill on="f" focussize="0,0"/>
                      <v:stroke color="#000000" joinstyle="round"/>
                      <v:imagedata o:title=""/>
                      <o:lock v:ext="edit" aspectratio="f"/>
                    </v:shape>
                  </w:pict>
                </mc:Fallback>
              </mc:AlternateContent>
            </w:r>
            <w:r>
              <w:rPr>
                <w:rFonts w:ascii="仿宋_GB2312" w:eastAsia="仿宋_GB2312"/>
                <w:sz w:val="18"/>
                <w:szCs w:val="18"/>
              </w:rPr>
              <mc:AlternateContent>
                <mc:Choice Requires="wps">
                  <w:drawing>
                    <wp:anchor distT="0" distB="0" distL="114300" distR="114300" simplePos="0" relativeHeight="251667456" behindDoc="0" locked="0" layoutInCell="1" allowOverlap="1">
                      <wp:simplePos x="0" y="0"/>
                      <wp:positionH relativeFrom="column">
                        <wp:posOffset>-58420</wp:posOffset>
                      </wp:positionH>
                      <wp:positionV relativeFrom="paragraph">
                        <wp:posOffset>-7620</wp:posOffset>
                      </wp:positionV>
                      <wp:extent cx="748030" cy="349250"/>
                      <wp:effectExtent l="1905" t="4445" r="12065" b="8255"/>
                      <wp:wrapNone/>
                      <wp:docPr id="1" name="Freeform 4"/>
                      <wp:cNvGraphicFramePr/>
                      <a:graphic xmlns:a="http://schemas.openxmlformats.org/drawingml/2006/main">
                        <a:graphicData uri="http://schemas.microsoft.com/office/word/2010/wordprocessingShape">
                          <wps:wsp>
                            <wps:cNvSpPr/>
                            <wps:spPr bwMode="auto">
                              <a:xfrm>
                                <a:off x="0" y="0"/>
                                <a:ext cx="748030" cy="349250"/>
                              </a:xfrm>
                              <a:custGeom>
                                <a:avLst/>
                                <a:gdLst>
                                  <a:gd name="T0" fmla="*/ 0 w 1090"/>
                                  <a:gd name="T1" fmla="*/ 0 h 480"/>
                                  <a:gd name="T2" fmla="*/ 1090 w 1090"/>
                                  <a:gd name="T3" fmla="*/ 480 h 480"/>
                                </a:gdLst>
                                <a:ahLst/>
                                <a:cxnLst>
                                  <a:cxn ang="0">
                                    <a:pos x="T0" y="T1"/>
                                  </a:cxn>
                                  <a:cxn ang="0">
                                    <a:pos x="T2" y="T3"/>
                                  </a:cxn>
                                </a:cxnLst>
                                <a:rect l="0" t="0" r="r" b="b"/>
                                <a:pathLst>
                                  <a:path w="1090" h="480">
                                    <a:moveTo>
                                      <a:pt x="0" y="0"/>
                                    </a:moveTo>
                                    <a:lnTo>
                                      <a:pt x="1090" y="480"/>
                                    </a:lnTo>
                                  </a:path>
                                </a:pathLst>
                              </a:custGeom>
                              <a:no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shape id="Freeform 4" o:spid="_x0000_s1026" o:spt="100" style="position:absolute;left:0pt;margin-left:-4.6pt;margin-top:-0.6pt;height:27.5pt;width:58.9pt;z-index:251667456;mso-width-relative:page;mso-height-relative:page;" filled="f" stroked="t" coordsize="1090,480" o:gfxdata="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8kf6g1gAAAAgBAAAPAAAA&#10;AAAAAAEAIAAAACIAAABkcnMvZG93bnJldi54bWxQSwECFAAUAAAACACHTuJAWcn+Y4kCAACIBQAA&#10;DgAAAAAAAAABACAAAAAlAQAAZHJzL2Uyb0RvYy54bWxQSwUGAAAAAAYABgBZAQAAIAYAAAAA&#10;" path="m0,0l1090,480e">
                      <v:path o:connectlocs="0,0;748030,349250" o:connectangles="0,0"/>
                      <v:fill on="f" focussize="0,0"/>
                      <v:stroke color="#000000" joinstyle="round"/>
                      <v:imagedata o:title=""/>
                      <o:lock v:ext="edit" aspectratio="f"/>
                    </v:shape>
                  </w:pict>
                </mc:Fallback>
              </mc:AlternateContent>
            </w:r>
            <w:r>
              <w:rPr>
                <w:rFonts w:hint="eastAsia" w:ascii="仿宋_GB2312" w:eastAsia="仿宋_GB2312"/>
                <w:sz w:val="18"/>
                <w:szCs w:val="18"/>
              </w:rPr>
              <w:t>项目</w:t>
            </w:r>
          </w:p>
          <w:p>
            <w:pPr>
              <w:spacing w:line="360" w:lineRule="exact"/>
              <w:ind w:firstLine="450" w:firstLineChars="250"/>
              <w:rPr>
                <w:rFonts w:ascii="仿宋_GB2312" w:eastAsia="仿宋_GB2312"/>
                <w:sz w:val="18"/>
                <w:szCs w:val="18"/>
              </w:rPr>
            </w:pPr>
            <w:r>
              <w:rPr>
                <w:rFonts w:hint="eastAsia" w:ascii="仿宋_GB2312" w:eastAsia="仿宋_GB2312"/>
                <w:sz w:val="18"/>
                <w:szCs w:val="18"/>
              </w:rPr>
              <w:t>周</w:t>
            </w:r>
          </w:p>
          <w:p>
            <w:pPr>
              <w:spacing w:line="360" w:lineRule="exact"/>
              <w:ind w:firstLine="630" w:firstLineChars="350"/>
              <w:rPr>
                <w:rFonts w:ascii="仿宋_GB2312" w:eastAsia="仿宋_GB2312"/>
                <w:sz w:val="18"/>
                <w:szCs w:val="18"/>
              </w:rPr>
            </w:pPr>
            <w:r>
              <w:rPr>
                <w:rFonts w:hint="eastAsia" w:ascii="仿宋_GB2312" w:eastAsia="仿宋_GB2312"/>
                <w:sz w:val="18"/>
                <w:szCs w:val="18"/>
              </w:rPr>
              <w:t>数</w:t>
            </w:r>
          </w:p>
          <w:p>
            <w:pPr>
              <w:spacing w:line="360" w:lineRule="exact"/>
              <w:ind w:firstLine="90" w:firstLineChars="50"/>
              <w:rPr>
                <w:rFonts w:ascii="仿宋_GB2312" w:eastAsia="仿宋_GB2312"/>
                <w:sz w:val="18"/>
                <w:szCs w:val="18"/>
              </w:rPr>
            </w:pPr>
            <w:r>
              <w:rPr>
                <w:rFonts w:hint="eastAsia" w:ascii="仿宋_GB2312" w:eastAsia="仿宋_GB2312"/>
                <w:sz w:val="18"/>
                <w:szCs w:val="18"/>
              </w:rPr>
              <w:t>学期</w:t>
            </w:r>
          </w:p>
        </w:tc>
        <w:tc>
          <w:tcPr>
            <w:tcW w:w="5967" w:type="dxa"/>
            <w:gridSpan w:val="9"/>
            <w:vAlign w:val="center"/>
          </w:tcPr>
          <w:p>
            <w:pPr>
              <w:spacing w:line="360" w:lineRule="exact"/>
              <w:ind w:firstLine="1350" w:firstLineChars="750"/>
              <w:rPr>
                <w:rFonts w:ascii="仿宋_GB2312" w:eastAsia="仿宋_GB2312"/>
                <w:sz w:val="18"/>
                <w:szCs w:val="18"/>
              </w:rPr>
            </w:pPr>
            <w:r>
              <w:rPr>
                <w:rFonts w:hint="eastAsia" w:ascii="仿宋_GB2312" w:eastAsia="仿宋_GB2312"/>
                <w:sz w:val="18"/>
                <w:szCs w:val="18"/>
              </w:rPr>
              <w:t>教育、教学和实践活动</w:t>
            </w:r>
          </w:p>
        </w:tc>
        <w:tc>
          <w:tcPr>
            <w:tcW w:w="871" w:type="dxa"/>
            <w:vMerge w:val="restart"/>
            <w:vAlign w:val="center"/>
          </w:tcPr>
          <w:p>
            <w:pPr>
              <w:spacing w:line="360" w:lineRule="exact"/>
              <w:jc w:val="center"/>
              <w:rPr>
                <w:rFonts w:ascii="仿宋_GB2312" w:eastAsia="仿宋_GB2312"/>
                <w:sz w:val="18"/>
                <w:szCs w:val="18"/>
              </w:rPr>
            </w:pPr>
            <w:r>
              <w:rPr>
                <w:rFonts w:hint="eastAsia" w:ascii="仿宋_GB2312" w:eastAsia="仿宋_GB2312"/>
                <w:sz w:val="18"/>
                <w:szCs w:val="18"/>
              </w:rPr>
              <w:t>机</w:t>
            </w:r>
          </w:p>
          <w:p>
            <w:pPr>
              <w:spacing w:line="360" w:lineRule="exact"/>
              <w:jc w:val="center"/>
              <w:rPr>
                <w:rFonts w:ascii="仿宋_GB2312" w:eastAsia="仿宋_GB2312"/>
                <w:sz w:val="18"/>
                <w:szCs w:val="18"/>
              </w:rPr>
            </w:pPr>
            <w:r>
              <w:rPr>
                <w:rFonts w:hint="eastAsia" w:ascii="仿宋_GB2312" w:eastAsia="仿宋_GB2312"/>
                <w:sz w:val="18"/>
                <w:szCs w:val="18"/>
              </w:rPr>
              <w:t>动</w:t>
            </w:r>
          </w:p>
        </w:tc>
        <w:tc>
          <w:tcPr>
            <w:tcW w:w="819" w:type="dxa"/>
            <w:vMerge w:val="restart"/>
            <w:vAlign w:val="center"/>
          </w:tcPr>
          <w:p>
            <w:pPr>
              <w:spacing w:line="360" w:lineRule="exact"/>
              <w:jc w:val="center"/>
              <w:rPr>
                <w:rFonts w:ascii="仿宋_GB2312" w:eastAsia="仿宋_GB2312"/>
                <w:sz w:val="18"/>
                <w:szCs w:val="18"/>
              </w:rPr>
            </w:pPr>
            <w:r>
              <w:rPr>
                <w:rFonts w:hint="eastAsia" w:ascii="仿宋_GB2312" w:eastAsia="仿宋_GB2312"/>
                <w:sz w:val="18"/>
                <w:szCs w:val="18"/>
              </w:rPr>
              <w:t>合</w:t>
            </w:r>
          </w:p>
          <w:p>
            <w:pPr>
              <w:spacing w:line="360" w:lineRule="exact"/>
              <w:jc w:val="center"/>
              <w:rPr>
                <w:rFonts w:ascii="仿宋_GB2312" w:eastAsia="仿宋_GB2312"/>
                <w:sz w:val="18"/>
                <w:szCs w:val="18"/>
              </w:rPr>
            </w:pPr>
            <w:r>
              <w:rPr>
                <w:rFonts w:hint="eastAsia" w:ascii="仿宋_GB2312" w:eastAsia="仿宋_GB2312"/>
                <w:sz w:val="18"/>
                <w:szCs w:val="18"/>
              </w:rPr>
              <w:t>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55" w:hRule="atLeast"/>
          <w:jc w:val="center"/>
        </w:trPr>
        <w:tc>
          <w:tcPr>
            <w:tcW w:w="1205" w:type="dxa"/>
            <w:vMerge w:val="continue"/>
            <w:vAlign w:val="center"/>
          </w:tcPr>
          <w:p>
            <w:pPr>
              <w:spacing w:line="360" w:lineRule="exact"/>
              <w:rPr>
                <w:rFonts w:ascii="仿宋_GB2312" w:eastAsia="仿宋_GB2312"/>
                <w:sz w:val="18"/>
                <w:szCs w:val="18"/>
              </w:rPr>
            </w:pPr>
          </w:p>
        </w:tc>
        <w:tc>
          <w:tcPr>
            <w:tcW w:w="601"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课</w:t>
            </w:r>
          </w:p>
          <w:p>
            <w:pPr>
              <w:spacing w:line="300" w:lineRule="exact"/>
              <w:jc w:val="center"/>
              <w:rPr>
                <w:rFonts w:ascii="仿宋_GB2312" w:eastAsia="仿宋_GB2312"/>
                <w:sz w:val="18"/>
                <w:szCs w:val="18"/>
              </w:rPr>
            </w:pPr>
            <w:r>
              <w:rPr>
                <w:rFonts w:hint="eastAsia" w:ascii="仿宋_GB2312" w:eastAsia="仿宋_GB2312"/>
                <w:sz w:val="18"/>
                <w:szCs w:val="18"/>
              </w:rPr>
              <w:t>堂</w:t>
            </w:r>
          </w:p>
          <w:p>
            <w:pPr>
              <w:spacing w:line="300" w:lineRule="exact"/>
              <w:jc w:val="center"/>
              <w:rPr>
                <w:rFonts w:ascii="仿宋_GB2312" w:eastAsia="仿宋_GB2312"/>
                <w:sz w:val="18"/>
                <w:szCs w:val="18"/>
              </w:rPr>
            </w:pPr>
            <w:r>
              <w:rPr>
                <w:rFonts w:hint="eastAsia" w:ascii="仿宋_GB2312" w:eastAsia="仿宋_GB2312"/>
                <w:sz w:val="18"/>
                <w:szCs w:val="18"/>
              </w:rPr>
              <w:t>教</w:t>
            </w:r>
          </w:p>
          <w:p>
            <w:pPr>
              <w:spacing w:line="300" w:lineRule="exact"/>
              <w:jc w:val="center"/>
              <w:rPr>
                <w:rFonts w:ascii="仿宋_GB2312" w:eastAsia="仿宋_GB2312"/>
                <w:sz w:val="18"/>
                <w:szCs w:val="18"/>
              </w:rPr>
            </w:pPr>
            <w:r>
              <w:rPr>
                <w:rFonts w:hint="eastAsia" w:ascii="仿宋_GB2312" w:eastAsia="仿宋_GB2312"/>
                <w:sz w:val="18"/>
                <w:szCs w:val="18"/>
              </w:rPr>
              <w:t>学</w:t>
            </w:r>
          </w:p>
        </w:tc>
        <w:tc>
          <w:tcPr>
            <w:tcW w:w="540"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复</w:t>
            </w:r>
          </w:p>
          <w:p>
            <w:pPr>
              <w:spacing w:line="300" w:lineRule="exact"/>
              <w:jc w:val="center"/>
              <w:rPr>
                <w:rFonts w:ascii="仿宋_GB2312" w:eastAsia="仿宋_GB2312"/>
                <w:sz w:val="18"/>
                <w:szCs w:val="18"/>
              </w:rPr>
            </w:pPr>
            <w:r>
              <w:rPr>
                <w:rFonts w:hint="eastAsia" w:ascii="仿宋_GB2312" w:eastAsia="仿宋_GB2312"/>
                <w:sz w:val="18"/>
                <w:szCs w:val="18"/>
              </w:rPr>
              <w:t>习</w:t>
            </w:r>
          </w:p>
          <w:p>
            <w:pPr>
              <w:spacing w:line="300" w:lineRule="exact"/>
              <w:jc w:val="center"/>
              <w:rPr>
                <w:rFonts w:ascii="仿宋_GB2312" w:eastAsia="仿宋_GB2312"/>
                <w:sz w:val="18"/>
                <w:szCs w:val="18"/>
              </w:rPr>
            </w:pPr>
            <w:r>
              <w:rPr>
                <w:rFonts w:hint="eastAsia" w:ascii="仿宋_GB2312" w:eastAsia="仿宋_GB2312"/>
                <w:sz w:val="18"/>
                <w:szCs w:val="18"/>
              </w:rPr>
              <w:t>考</w:t>
            </w:r>
          </w:p>
          <w:p>
            <w:pPr>
              <w:spacing w:line="300" w:lineRule="exact"/>
              <w:jc w:val="center"/>
              <w:rPr>
                <w:rFonts w:ascii="仿宋_GB2312" w:eastAsia="仿宋_GB2312"/>
                <w:sz w:val="18"/>
                <w:szCs w:val="18"/>
              </w:rPr>
            </w:pPr>
            <w:r>
              <w:rPr>
                <w:rFonts w:hint="eastAsia" w:ascii="仿宋_GB2312" w:eastAsia="仿宋_GB2312"/>
                <w:sz w:val="18"/>
                <w:szCs w:val="18"/>
              </w:rPr>
              <w:t>试</w:t>
            </w:r>
          </w:p>
        </w:tc>
        <w:tc>
          <w:tcPr>
            <w:tcW w:w="540"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专</w:t>
            </w:r>
          </w:p>
          <w:p>
            <w:pPr>
              <w:spacing w:line="300" w:lineRule="exact"/>
              <w:jc w:val="center"/>
              <w:rPr>
                <w:rFonts w:ascii="仿宋_GB2312" w:eastAsia="仿宋_GB2312"/>
                <w:sz w:val="18"/>
                <w:szCs w:val="18"/>
              </w:rPr>
            </w:pPr>
            <w:r>
              <w:rPr>
                <w:rFonts w:hint="eastAsia" w:ascii="仿宋_GB2312" w:eastAsia="仿宋_GB2312"/>
                <w:sz w:val="18"/>
                <w:szCs w:val="18"/>
              </w:rPr>
              <w:t>业</w:t>
            </w:r>
          </w:p>
          <w:p>
            <w:pPr>
              <w:spacing w:line="300" w:lineRule="exact"/>
              <w:jc w:val="center"/>
              <w:rPr>
                <w:rFonts w:ascii="仿宋_GB2312" w:eastAsia="仿宋_GB2312"/>
                <w:sz w:val="18"/>
                <w:szCs w:val="18"/>
              </w:rPr>
            </w:pPr>
            <w:r>
              <w:rPr>
                <w:rFonts w:hint="eastAsia" w:ascii="仿宋_GB2312" w:eastAsia="仿宋_GB2312"/>
                <w:sz w:val="18"/>
                <w:szCs w:val="18"/>
              </w:rPr>
              <w:t>实</w:t>
            </w:r>
          </w:p>
          <w:p>
            <w:pPr>
              <w:spacing w:line="300" w:lineRule="exact"/>
              <w:jc w:val="center"/>
              <w:rPr>
                <w:rFonts w:ascii="仿宋_GB2312" w:eastAsia="仿宋_GB2312"/>
                <w:sz w:val="18"/>
                <w:szCs w:val="18"/>
              </w:rPr>
            </w:pPr>
            <w:r>
              <w:rPr>
                <w:rFonts w:hint="eastAsia" w:ascii="仿宋_GB2312" w:eastAsia="仿宋_GB2312"/>
                <w:sz w:val="18"/>
                <w:szCs w:val="18"/>
              </w:rPr>
              <w:t>践</w:t>
            </w:r>
          </w:p>
        </w:tc>
        <w:tc>
          <w:tcPr>
            <w:tcW w:w="585" w:type="dxa"/>
            <w:tcBorders>
              <w:right w:val="single" w:color="auto" w:sz="4" w:space="0"/>
            </w:tcBorders>
            <w:vAlign w:val="center"/>
          </w:tcPr>
          <w:p>
            <w:pPr>
              <w:spacing w:line="300" w:lineRule="exact"/>
              <w:jc w:val="center"/>
              <w:rPr>
                <w:rFonts w:ascii="仿宋_GB2312" w:eastAsia="仿宋_GB2312"/>
                <w:sz w:val="18"/>
                <w:szCs w:val="18"/>
              </w:rPr>
            </w:pPr>
            <w:r>
              <w:rPr>
                <w:rFonts w:hint="eastAsia" w:ascii="仿宋_GB2312" w:eastAsia="仿宋_GB2312"/>
                <w:sz w:val="18"/>
                <w:szCs w:val="18"/>
              </w:rPr>
              <w:t>专</w:t>
            </w:r>
          </w:p>
          <w:p>
            <w:pPr>
              <w:spacing w:line="300" w:lineRule="exact"/>
              <w:jc w:val="center"/>
              <w:rPr>
                <w:rFonts w:ascii="仿宋_GB2312" w:eastAsia="仿宋_GB2312"/>
                <w:sz w:val="18"/>
                <w:szCs w:val="18"/>
              </w:rPr>
            </w:pPr>
            <w:r>
              <w:rPr>
                <w:rFonts w:hint="eastAsia" w:ascii="仿宋_GB2312" w:eastAsia="仿宋_GB2312"/>
                <w:sz w:val="18"/>
                <w:szCs w:val="18"/>
              </w:rPr>
              <w:t>业</w:t>
            </w:r>
          </w:p>
          <w:p>
            <w:pPr>
              <w:spacing w:line="300" w:lineRule="exact"/>
              <w:jc w:val="center"/>
              <w:rPr>
                <w:rFonts w:ascii="仿宋_GB2312" w:eastAsia="仿宋_GB2312"/>
                <w:sz w:val="18"/>
                <w:szCs w:val="18"/>
              </w:rPr>
            </w:pPr>
            <w:r>
              <w:rPr>
                <w:rFonts w:hint="eastAsia" w:ascii="仿宋_GB2312" w:eastAsia="仿宋_GB2312"/>
                <w:sz w:val="18"/>
                <w:szCs w:val="18"/>
              </w:rPr>
              <w:t>见</w:t>
            </w:r>
          </w:p>
          <w:p>
            <w:pPr>
              <w:spacing w:line="300" w:lineRule="exact"/>
              <w:jc w:val="center"/>
              <w:rPr>
                <w:rFonts w:ascii="仿宋_GB2312" w:eastAsia="仿宋_GB2312"/>
                <w:sz w:val="18"/>
                <w:szCs w:val="18"/>
              </w:rPr>
            </w:pPr>
            <w:r>
              <w:rPr>
                <w:rFonts w:hint="eastAsia" w:ascii="仿宋_GB2312" w:eastAsia="仿宋_GB2312"/>
                <w:sz w:val="18"/>
                <w:szCs w:val="18"/>
              </w:rPr>
              <w:t>习</w:t>
            </w:r>
          </w:p>
        </w:tc>
        <w:tc>
          <w:tcPr>
            <w:tcW w:w="641" w:type="dxa"/>
            <w:tcBorders>
              <w:left w:val="single" w:color="auto" w:sz="4" w:space="0"/>
            </w:tcBorders>
            <w:vAlign w:val="center"/>
          </w:tcPr>
          <w:p>
            <w:pPr>
              <w:spacing w:line="300" w:lineRule="exact"/>
              <w:jc w:val="center"/>
              <w:rPr>
                <w:rFonts w:ascii="仿宋_GB2312" w:eastAsia="仿宋_GB2312"/>
                <w:sz w:val="18"/>
                <w:szCs w:val="18"/>
              </w:rPr>
            </w:pPr>
            <w:r>
              <w:rPr>
                <w:rFonts w:hint="eastAsia" w:ascii="仿宋_GB2312" w:eastAsia="仿宋_GB2312"/>
                <w:sz w:val="18"/>
                <w:szCs w:val="18"/>
              </w:rPr>
              <w:t>专业实习</w:t>
            </w:r>
          </w:p>
        </w:tc>
        <w:tc>
          <w:tcPr>
            <w:tcW w:w="900"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毕业</w:t>
            </w:r>
          </w:p>
          <w:p>
            <w:pPr>
              <w:spacing w:line="300" w:lineRule="exact"/>
              <w:jc w:val="center"/>
              <w:rPr>
                <w:rFonts w:ascii="仿宋_GB2312" w:eastAsia="仿宋_GB2312"/>
                <w:sz w:val="18"/>
                <w:szCs w:val="18"/>
              </w:rPr>
            </w:pPr>
            <w:r>
              <w:rPr>
                <w:rFonts w:hint="eastAsia" w:ascii="仿宋_GB2312" w:eastAsia="仿宋_GB2312"/>
                <w:sz w:val="18"/>
                <w:szCs w:val="18"/>
              </w:rPr>
              <w:t>论文</w:t>
            </w:r>
          </w:p>
          <w:p>
            <w:pPr>
              <w:spacing w:line="300" w:lineRule="exact"/>
              <w:jc w:val="center"/>
              <w:rPr>
                <w:rFonts w:ascii="仿宋_GB2312" w:eastAsia="仿宋_GB2312"/>
                <w:sz w:val="18"/>
                <w:szCs w:val="18"/>
              </w:rPr>
            </w:pPr>
            <w:r>
              <w:rPr>
                <w:rFonts w:hint="eastAsia" w:ascii="仿宋_GB2312" w:eastAsia="仿宋_GB2312"/>
                <w:sz w:val="18"/>
                <w:szCs w:val="18"/>
              </w:rPr>
              <w:t>（设计）</w:t>
            </w:r>
          </w:p>
        </w:tc>
        <w:tc>
          <w:tcPr>
            <w:tcW w:w="720"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国防教育</w:t>
            </w:r>
          </w:p>
          <w:p>
            <w:pPr>
              <w:spacing w:line="300" w:lineRule="exact"/>
              <w:jc w:val="center"/>
              <w:rPr>
                <w:rFonts w:ascii="仿宋_GB2312" w:eastAsia="仿宋_GB2312"/>
                <w:sz w:val="18"/>
                <w:szCs w:val="18"/>
              </w:rPr>
            </w:pPr>
            <w:r>
              <w:rPr>
                <w:rFonts w:hint="eastAsia" w:ascii="仿宋_GB2312" w:eastAsia="仿宋_GB2312"/>
                <w:sz w:val="18"/>
                <w:szCs w:val="18"/>
              </w:rPr>
              <w:t>始业</w:t>
            </w:r>
          </w:p>
          <w:p>
            <w:pPr>
              <w:spacing w:line="300" w:lineRule="exact"/>
              <w:jc w:val="center"/>
              <w:rPr>
                <w:rFonts w:ascii="仿宋_GB2312" w:eastAsia="仿宋_GB2312"/>
                <w:sz w:val="18"/>
                <w:szCs w:val="18"/>
              </w:rPr>
            </w:pPr>
            <w:r>
              <w:rPr>
                <w:rFonts w:hint="eastAsia" w:ascii="仿宋_GB2312" w:eastAsia="仿宋_GB2312"/>
                <w:sz w:val="18"/>
                <w:szCs w:val="18"/>
              </w:rPr>
              <w:t>教育</w:t>
            </w:r>
          </w:p>
        </w:tc>
        <w:tc>
          <w:tcPr>
            <w:tcW w:w="720"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暑期</w:t>
            </w:r>
          </w:p>
          <w:p>
            <w:pPr>
              <w:spacing w:line="300" w:lineRule="exact"/>
              <w:jc w:val="center"/>
              <w:rPr>
                <w:rFonts w:ascii="仿宋_GB2312" w:eastAsia="仿宋_GB2312"/>
                <w:sz w:val="18"/>
                <w:szCs w:val="18"/>
              </w:rPr>
            </w:pPr>
            <w:r>
              <w:rPr>
                <w:rFonts w:hint="eastAsia" w:ascii="仿宋_GB2312" w:eastAsia="仿宋_GB2312"/>
                <w:sz w:val="18"/>
                <w:szCs w:val="18"/>
              </w:rPr>
              <w:t>社会</w:t>
            </w:r>
          </w:p>
          <w:p>
            <w:pPr>
              <w:spacing w:line="300" w:lineRule="exact"/>
              <w:jc w:val="center"/>
              <w:rPr>
                <w:rFonts w:ascii="仿宋_GB2312" w:eastAsia="仿宋_GB2312"/>
                <w:sz w:val="18"/>
                <w:szCs w:val="18"/>
              </w:rPr>
            </w:pPr>
            <w:r>
              <w:rPr>
                <w:rFonts w:hint="eastAsia" w:ascii="仿宋_GB2312" w:eastAsia="仿宋_GB2312"/>
                <w:sz w:val="18"/>
                <w:szCs w:val="18"/>
              </w:rPr>
              <w:t>实践</w:t>
            </w:r>
          </w:p>
        </w:tc>
        <w:tc>
          <w:tcPr>
            <w:tcW w:w="720" w:type="dxa"/>
            <w:vAlign w:val="center"/>
          </w:tcPr>
          <w:p>
            <w:pPr>
              <w:spacing w:line="300" w:lineRule="exact"/>
              <w:jc w:val="center"/>
              <w:rPr>
                <w:rFonts w:ascii="仿宋_GB2312" w:eastAsia="仿宋_GB2312"/>
                <w:sz w:val="18"/>
                <w:szCs w:val="18"/>
              </w:rPr>
            </w:pPr>
            <w:r>
              <w:rPr>
                <w:rFonts w:hint="eastAsia" w:ascii="仿宋_GB2312" w:eastAsia="仿宋_GB2312"/>
                <w:sz w:val="18"/>
                <w:szCs w:val="18"/>
              </w:rPr>
              <w:t>毕业</w:t>
            </w:r>
          </w:p>
          <w:p>
            <w:pPr>
              <w:spacing w:line="300" w:lineRule="exact"/>
              <w:jc w:val="center"/>
              <w:rPr>
                <w:rFonts w:ascii="仿宋_GB2312" w:eastAsia="仿宋_GB2312"/>
                <w:sz w:val="18"/>
                <w:szCs w:val="18"/>
              </w:rPr>
            </w:pPr>
            <w:r>
              <w:rPr>
                <w:rFonts w:hint="eastAsia" w:ascii="仿宋_GB2312" w:eastAsia="仿宋_GB2312"/>
                <w:sz w:val="18"/>
                <w:szCs w:val="18"/>
              </w:rPr>
              <w:t>就业</w:t>
            </w:r>
          </w:p>
          <w:p>
            <w:pPr>
              <w:spacing w:line="300" w:lineRule="exact"/>
              <w:jc w:val="center"/>
              <w:rPr>
                <w:rFonts w:ascii="仿宋_GB2312" w:eastAsia="仿宋_GB2312"/>
                <w:sz w:val="18"/>
                <w:szCs w:val="18"/>
              </w:rPr>
            </w:pPr>
            <w:r>
              <w:rPr>
                <w:rFonts w:hint="eastAsia" w:ascii="仿宋_GB2312" w:eastAsia="仿宋_GB2312"/>
                <w:sz w:val="18"/>
                <w:szCs w:val="18"/>
              </w:rPr>
              <w:t>教育</w:t>
            </w:r>
          </w:p>
        </w:tc>
        <w:tc>
          <w:tcPr>
            <w:tcW w:w="871" w:type="dxa"/>
            <w:vMerge w:val="continue"/>
            <w:vAlign w:val="center"/>
          </w:tcPr>
          <w:p>
            <w:pPr>
              <w:spacing w:line="360" w:lineRule="exact"/>
              <w:jc w:val="center"/>
              <w:rPr>
                <w:rFonts w:ascii="仿宋_GB2312" w:eastAsia="仿宋_GB2312"/>
                <w:sz w:val="18"/>
                <w:szCs w:val="18"/>
              </w:rPr>
            </w:pPr>
          </w:p>
        </w:tc>
        <w:tc>
          <w:tcPr>
            <w:tcW w:w="819" w:type="dxa"/>
            <w:vMerge w:val="continue"/>
            <w:vAlign w:val="center"/>
          </w:tcPr>
          <w:p>
            <w:pPr>
              <w:spacing w:line="360" w:lineRule="exact"/>
              <w:jc w:val="center"/>
              <w:rPr>
                <w:rFonts w:ascii="仿宋_GB2312" w:eastAsia="仿宋_GB2312"/>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一</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15</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w:t>
            </w:r>
          </w:p>
        </w:tc>
        <w:tc>
          <w:tcPr>
            <w:tcW w:w="540" w:type="dxa"/>
            <w:vAlign w:val="center"/>
          </w:tcPr>
          <w:p>
            <w:pPr>
              <w:spacing w:line="360" w:lineRule="exact"/>
              <w:jc w:val="center"/>
              <w:rPr>
                <w:rFonts w:ascii="仿宋_GB2312" w:eastAsia="仿宋_GB2312"/>
                <w:sz w:val="18"/>
                <w:szCs w:val="18"/>
              </w:rPr>
            </w:pP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二</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16</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w:t>
            </w:r>
          </w:p>
        </w:tc>
        <w:tc>
          <w:tcPr>
            <w:tcW w:w="540" w:type="dxa"/>
            <w:vAlign w:val="center"/>
          </w:tcPr>
          <w:p>
            <w:pPr>
              <w:spacing w:line="360" w:lineRule="exact"/>
              <w:jc w:val="center"/>
              <w:rPr>
                <w:rFonts w:ascii="仿宋_GB2312" w:eastAsia="仿宋_GB2312"/>
                <w:sz w:val="18"/>
                <w:szCs w:val="18"/>
              </w:rPr>
            </w:pPr>
          </w:p>
        </w:tc>
        <w:tc>
          <w:tcPr>
            <w:tcW w:w="585" w:type="dxa"/>
            <w:tcBorders>
              <w:right w:val="single" w:color="auto" w:sz="4" w:space="0"/>
            </w:tcBorders>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pacing w:val="-20"/>
                <w:sz w:val="18"/>
                <w:szCs w:val="18"/>
              </w:rPr>
            </w:pPr>
            <w:r>
              <w:rPr>
                <w:rFonts w:hint="eastAsia" w:ascii="仿宋_GB2312" w:eastAsia="仿宋_GB2312"/>
                <w:spacing w:val="-20"/>
                <w:sz w:val="18"/>
                <w:szCs w:val="18"/>
              </w:rPr>
              <w:t>（2）</w:t>
            </w: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三</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16</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四</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16</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pacing w:val="-20"/>
                <w:sz w:val="18"/>
                <w:szCs w:val="18"/>
              </w:rPr>
            </w:pPr>
            <w:r>
              <w:rPr>
                <w:rFonts w:hint="eastAsia" w:ascii="仿宋_GB2312" w:eastAsia="仿宋_GB2312"/>
                <w:spacing w:val="-20"/>
                <w:sz w:val="18"/>
                <w:szCs w:val="18"/>
              </w:rPr>
              <w:t>（2）</w:t>
            </w: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五</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16</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六</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16</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pacing w:val="-20"/>
                <w:sz w:val="18"/>
                <w:szCs w:val="18"/>
              </w:rPr>
            </w:pPr>
            <w:r>
              <w:rPr>
                <w:rFonts w:hint="eastAsia" w:ascii="仿宋_GB2312" w:eastAsia="仿宋_GB2312"/>
                <w:spacing w:val="-20"/>
                <w:sz w:val="18"/>
                <w:szCs w:val="18"/>
              </w:rPr>
              <w:t>（2）</w:t>
            </w: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七</w:t>
            </w:r>
          </w:p>
        </w:tc>
        <w:tc>
          <w:tcPr>
            <w:tcW w:w="601"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8</w:t>
            </w:r>
          </w:p>
        </w:tc>
        <w:tc>
          <w:tcPr>
            <w:tcW w:w="540" w:type="dxa"/>
            <w:vAlign w:val="center"/>
          </w:tcPr>
          <w:p>
            <w:pPr>
              <w:spacing w:line="360" w:lineRule="exact"/>
              <w:jc w:val="center"/>
              <w:rPr>
                <w:rFonts w:ascii="仿宋_GB2312" w:eastAsia="仿宋_GB2312"/>
                <w:sz w:val="18"/>
                <w:szCs w:val="18"/>
              </w:rPr>
            </w:pPr>
          </w:p>
        </w:tc>
        <w:tc>
          <w:tcPr>
            <w:tcW w:w="540" w:type="dxa"/>
            <w:vAlign w:val="center"/>
          </w:tcPr>
          <w:p>
            <w:pPr>
              <w:spacing w:line="360" w:lineRule="exact"/>
              <w:jc w:val="center"/>
              <w:rPr>
                <w:rFonts w:ascii="仿宋_GB2312" w:eastAsia="仿宋_GB2312"/>
                <w:sz w:val="18"/>
                <w:szCs w:val="18"/>
              </w:rPr>
            </w:pP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p>
        </w:tc>
        <w:tc>
          <w:tcPr>
            <w:tcW w:w="90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11</w:t>
            </w: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八</w:t>
            </w:r>
          </w:p>
        </w:tc>
        <w:tc>
          <w:tcPr>
            <w:tcW w:w="601" w:type="dxa"/>
            <w:vAlign w:val="center"/>
          </w:tcPr>
          <w:p>
            <w:pPr>
              <w:spacing w:line="360" w:lineRule="exact"/>
              <w:jc w:val="center"/>
              <w:rPr>
                <w:rFonts w:ascii="仿宋_GB2312" w:eastAsia="仿宋_GB2312"/>
                <w:sz w:val="18"/>
                <w:szCs w:val="18"/>
              </w:rPr>
            </w:pPr>
          </w:p>
        </w:tc>
        <w:tc>
          <w:tcPr>
            <w:tcW w:w="540" w:type="dxa"/>
            <w:vAlign w:val="center"/>
          </w:tcPr>
          <w:p>
            <w:pPr>
              <w:spacing w:line="360" w:lineRule="exact"/>
              <w:jc w:val="center"/>
              <w:rPr>
                <w:rFonts w:ascii="仿宋_GB2312" w:eastAsia="仿宋_GB2312"/>
                <w:sz w:val="18"/>
                <w:szCs w:val="18"/>
              </w:rPr>
            </w:pPr>
          </w:p>
        </w:tc>
        <w:tc>
          <w:tcPr>
            <w:tcW w:w="540" w:type="dxa"/>
            <w:vAlign w:val="center"/>
          </w:tcPr>
          <w:p>
            <w:pPr>
              <w:spacing w:line="360" w:lineRule="exact"/>
              <w:jc w:val="center"/>
              <w:rPr>
                <w:rFonts w:ascii="仿宋_GB2312" w:eastAsia="仿宋_GB2312"/>
                <w:sz w:val="18"/>
                <w:szCs w:val="18"/>
              </w:rPr>
            </w:pPr>
          </w:p>
        </w:tc>
        <w:tc>
          <w:tcPr>
            <w:tcW w:w="585" w:type="dxa"/>
            <w:tcBorders>
              <w:right w:val="single" w:color="auto" w:sz="4" w:space="0"/>
            </w:tcBorders>
            <w:vAlign w:val="center"/>
          </w:tcPr>
          <w:p>
            <w:pPr>
              <w:spacing w:line="360" w:lineRule="exact"/>
              <w:jc w:val="center"/>
              <w:rPr>
                <w:rFonts w:ascii="仿宋_GB2312" w:eastAsia="仿宋_GB2312"/>
                <w:sz w:val="18"/>
                <w:szCs w:val="18"/>
              </w:rPr>
            </w:pPr>
          </w:p>
        </w:tc>
        <w:tc>
          <w:tcPr>
            <w:tcW w:w="641" w:type="dxa"/>
            <w:tcBorders>
              <w:left w:val="single" w:color="auto" w:sz="4" w:space="0"/>
            </w:tcBorders>
            <w:vAlign w:val="center"/>
          </w:tcPr>
          <w:p>
            <w:pPr>
              <w:spacing w:line="360" w:lineRule="exact"/>
              <w:jc w:val="center"/>
              <w:rPr>
                <w:rFonts w:ascii="仿宋_GB2312" w:eastAsia="仿宋_GB2312"/>
                <w:sz w:val="18"/>
                <w:szCs w:val="18"/>
              </w:rPr>
            </w:pPr>
            <w:r>
              <w:rPr>
                <w:rFonts w:hint="eastAsia" w:ascii="仿宋_GB2312" w:eastAsia="仿宋_GB2312"/>
                <w:sz w:val="18"/>
                <w:szCs w:val="18"/>
              </w:rPr>
              <w:t>12</w:t>
            </w:r>
          </w:p>
        </w:tc>
        <w:tc>
          <w:tcPr>
            <w:tcW w:w="90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5</w:t>
            </w: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p>
        </w:tc>
        <w:tc>
          <w:tcPr>
            <w:tcW w:w="72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合 计</w:t>
            </w:r>
          </w:p>
        </w:tc>
        <w:tc>
          <w:tcPr>
            <w:tcW w:w="601" w:type="dxa"/>
            <w:vAlign w:val="center"/>
          </w:tcPr>
          <w:p>
            <w:pPr>
              <w:spacing w:line="360" w:lineRule="exact"/>
              <w:jc w:val="center"/>
              <w:rPr>
                <w:rFonts w:ascii="仿宋_GB2312" w:eastAsia="仿宋_GB2312"/>
                <w:bCs/>
                <w:sz w:val="18"/>
                <w:szCs w:val="18"/>
              </w:rPr>
            </w:pPr>
            <w:r>
              <w:rPr>
                <w:rFonts w:hint="eastAsia" w:ascii="仿宋_GB2312" w:eastAsia="仿宋_GB2312"/>
                <w:bCs/>
                <w:sz w:val="18"/>
                <w:szCs w:val="18"/>
              </w:rPr>
              <w:t>103</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6</w:t>
            </w:r>
          </w:p>
        </w:tc>
        <w:tc>
          <w:tcPr>
            <w:tcW w:w="54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8</w:t>
            </w:r>
          </w:p>
        </w:tc>
        <w:tc>
          <w:tcPr>
            <w:tcW w:w="585" w:type="dxa"/>
            <w:tcBorders>
              <w:right w:val="single" w:color="auto" w:sz="4" w:space="0"/>
            </w:tcBorders>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641" w:type="dxa"/>
            <w:tcBorders>
              <w:left w:val="single" w:color="auto" w:sz="4" w:space="0"/>
            </w:tcBorders>
            <w:vAlign w:val="center"/>
          </w:tcPr>
          <w:p>
            <w:pPr>
              <w:spacing w:line="360" w:lineRule="exact"/>
              <w:jc w:val="center"/>
              <w:rPr>
                <w:rFonts w:ascii="仿宋_GB2312" w:eastAsia="仿宋_GB2312"/>
                <w:sz w:val="18"/>
                <w:szCs w:val="18"/>
              </w:rPr>
            </w:pPr>
            <w:r>
              <w:rPr>
                <w:rFonts w:hint="eastAsia" w:ascii="仿宋_GB2312" w:eastAsia="仿宋_GB2312"/>
                <w:sz w:val="18"/>
                <w:szCs w:val="18"/>
              </w:rPr>
              <w:t>12</w:t>
            </w:r>
          </w:p>
        </w:tc>
        <w:tc>
          <w:tcPr>
            <w:tcW w:w="90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16</w:t>
            </w:r>
          </w:p>
        </w:tc>
        <w:tc>
          <w:tcPr>
            <w:tcW w:w="72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720" w:type="dxa"/>
            <w:vAlign w:val="center"/>
          </w:tcPr>
          <w:p>
            <w:pPr>
              <w:spacing w:line="360" w:lineRule="exact"/>
              <w:jc w:val="center"/>
              <w:rPr>
                <w:rFonts w:ascii="仿宋_GB2312" w:eastAsia="仿宋_GB2312"/>
                <w:sz w:val="18"/>
                <w:szCs w:val="18"/>
              </w:rPr>
            </w:pPr>
            <w:r>
              <w:rPr>
                <w:rFonts w:hint="eastAsia" w:ascii="仿宋_GB2312" w:eastAsia="仿宋_GB2312"/>
                <w:spacing w:val="-20"/>
                <w:sz w:val="18"/>
                <w:szCs w:val="18"/>
              </w:rPr>
              <w:t>（6）</w:t>
            </w:r>
          </w:p>
        </w:tc>
        <w:tc>
          <w:tcPr>
            <w:tcW w:w="720"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2</w:t>
            </w:r>
          </w:p>
        </w:tc>
        <w:tc>
          <w:tcPr>
            <w:tcW w:w="871" w:type="dxa"/>
            <w:vAlign w:val="center"/>
          </w:tcPr>
          <w:p>
            <w:pPr>
              <w:spacing w:line="360" w:lineRule="exact"/>
              <w:jc w:val="center"/>
              <w:rPr>
                <w:rFonts w:ascii="仿宋_GB2312" w:eastAsia="仿宋_GB2312"/>
                <w:sz w:val="18"/>
                <w:szCs w:val="18"/>
              </w:rPr>
            </w:pPr>
          </w:p>
        </w:tc>
        <w:tc>
          <w:tcPr>
            <w:tcW w:w="819" w:type="dxa"/>
            <w:vAlign w:val="center"/>
          </w:tcPr>
          <w:p>
            <w:pPr>
              <w:spacing w:line="360" w:lineRule="exact"/>
              <w:jc w:val="center"/>
              <w:rPr>
                <w:rFonts w:ascii="仿宋_GB2312" w:eastAsia="仿宋_GB2312"/>
                <w:sz w:val="18"/>
                <w:szCs w:val="18"/>
              </w:rPr>
            </w:pPr>
            <w:r>
              <w:rPr>
                <w:rFonts w:hint="eastAsia" w:ascii="仿宋_GB2312" w:eastAsia="仿宋_GB2312"/>
                <w:sz w:val="18"/>
                <w:szCs w:val="18"/>
              </w:rPr>
              <w:t>151</w:t>
            </w:r>
          </w:p>
        </w:tc>
      </w:tr>
    </w:tbl>
    <w:p>
      <w:pPr>
        <w:spacing w:line="500" w:lineRule="exact"/>
        <w:ind w:firstLine="482" w:firstLineChars="200"/>
        <w:rPr>
          <w:rFonts w:ascii="仿宋_GB2312" w:hAnsi="宋体" w:eastAsia="仿宋_GB2312"/>
          <w:b/>
          <w:sz w:val="24"/>
        </w:rPr>
      </w:pPr>
    </w:p>
    <w:p>
      <w:pPr>
        <w:adjustRightInd w:val="0"/>
        <w:snapToGrid w:val="0"/>
        <w:spacing w:line="360" w:lineRule="auto"/>
        <w:rPr>
          <w:rFonts w:ascii="仿宋_GB2312" w:hAnsi="宋体" w:eastAsia="仿宋_GB2312" w:cs="宋体"/>
          <w:b/>
          <w:kern w:val="0"/>
          <w:sz w:val="24"/>
        </w:rPr>
      </w:pPr>
      <w:r>
        <w:rPr>
          <w:rFonts w:hint="eastAsia" w:ascii="仿宋_GB2312" w:hAnsi="宋体" w:eastAsia="仿宋_GB2312" w:cs="宋体"/>
          <w:b/>
          <w:kern w:val="0"/>
          <w:sz w:val="24"/>
        </w:rPr>
        <w:t>七、各类数据统计表</w:t>
      </w:r>
    </w:p>
    <w:p>
      <w:pPr>
        <w:ind w:left="359" w:leftChars="171" w:firstLine="2424" w:firstLineChars="1150"/>
        <w:rPr>
          <w:rFonts w:ascii="仿宋_GB2312" w:eastAsia="仿宋_GB2312"/>
          <w:b/>
        </w:rPr>
      </w:pPr>
      <w:r>
        <w:rPr>
          <w:rFonts w:hint="eastAsia" w:ascii="仿宋_GB2312" w:eastAsia="仿宋_GB2312"/>
          <w:b/>
        </w:rPr>
        <w:t>（一）各类课程学时数和学分数统计</w:t>
      </w:r>
    </w:p>
    <w:tbl>
      <w:tblPr>
        <w:tblStyle w:val="15"/>
        <w:tblW w:w="9072" w:type="dxa"/>
        <w:jc w:val="center"/>
        <w:tblInd w:w="39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0"/>
        <w:gridCol w:w="640"/>
        <w:gridCol w:w="527"/>
        <w:gridCol w:w="528"/>
        <w:gridCol w:w="528"/>
        <w:gridCol w:w="528"/>
        <w:gridCol w:w="528"/>
        <w:gridCol w:w="588"/>
        <w:gridCol w:w="528"/>
        <w:gridCol w:w="528"/>
        <w:gridCol w:w="528"/>
        <w:gridCol w:w="528"/>
        <w:gridCol w:w="528"/>
        <w:gridCol w:w="528"/>
        <w:gridCol w:w="528"/>
        <w:gridCol w:w="6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25" w:hRule="atLeast"/>
          <w:jc w:val="center"/>
        </w:trPr>
        <w:tc>
          <w:tcPr>
            <w:tcW w:w="850" w:type="dxa"/>
            <w:tcBorders>
              <w:top w:val="single" w:color="auto" w:sz="12" w:space="0"/>
              <w:left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专业名称</w:t>
            </w:r>
          </w:p>
        </w:tc>
        <w:tc>
          <w:tcPr>
            <w:tcW w:w="640"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bookmarkStart w:id="0" w:name="OLE_LINK3"/>
            <w:bookmarkStart w:id="1" w:name="OLE_LINK4"/>
            <w:r>
              <w:rPr>
                <w:rFonts w:hint="eastAsia" w:ascii="仿宋_GB2312" w:eastAsia="仿宋_GB2312"/>
                <w:sz w:val="18"/>
              </w:rPr>
              <w:t>学时总数</w:t>
            </w:r>
            <w:bookmarkEnd w:id="0"/>
            <w:bookmarkEnd w:id="1"/>
          </w:p>
        </w:tc>
        <w:tc>
          <w:tcPr>
            <w:tcW w:w="527" w:type="dxa"/>
            <w:tcBorders>
              <w:top w:val="single" w:color="auto" w:sz="12" w:space="0"/>
            </w:tcBorders>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课程门数</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必修课学时</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选修课学时</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课内教学学时</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实验教学学时</w:t>
            </w:r>
          </w:p>
        </w:tc>
        <w:tc>
          <w:tcPr>
            <w:tcW w:w="588" w:type="dxa"/>
            <w:tcBorders>
              <w:top w:val="single" w:color="auto" w:sz="12" w:space="0"/>
            </w:tcBorders>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小班化教学学时（30人以下）</w:t>
            </w:r>
          </w:p>
        </w:tc>
        <w:tc>
          <w:tcPr>
            <w:tcW w:w="528" w:type="dxa"/>
            <w:tcBorders>
              <w:top w:val="single" w:color="auto" w:sz="12" w:space="0"/>
            </w:tcBorders>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分层分类教学课程门数</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学分总数</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必修课学分</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选修课学分</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集中性实践教学环节学分</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课内教学学分</w:t>
            </w:r>
          </w:p>
        </w:tc>
        <w:tc>
          <w:tcPr>
            <w:tcW w:w="528" w:type="dxa"/>
            <w:tcBorders>
              <w:top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实验教学学分</w:t>
            </w:r>
          </w:p>
        </w:tc>
        <w:tc>
          <w:tcPr>
            <w:tcW w:w="659" w:type="dxa"/>
            <w:tcBorders>
              <w:top w:val="single" w:color="auto" w:sz="12" w:space="0"/>
              <w:right w:val="single" w:color="auto" w:sz="12" w:space="0"/>
            </w:tcBorders>
            <w:shd w:val="clear" w:color="auto" w:fill="auto"/>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课外科技活动学分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jc w:val="center"/>
        </w:trPr>
        <w:tc>
          <w:tcPr>
            <w:tcW w:w="850" w:type="dxa"/>
            <w:tcBorders>
              <w:left w:val="single" w:color="auto" w:sz="12" w:space="0"/>
            </w:tcBorders>
            <w:shd w:val="clear" w:color="auto" w:fill="auto"/>
            <w:tcMar>
              <w:left w:w="0" w:type="dxa"/>
              <w:right w:w="0" w:type="dxa"/>
            </w:tcMar>
            <w:vAlign w:val="bottom"/>
          </w:tcPr>
          <w:p>
            <w:pPr>
              <w:widowControl/>
              <w:snapToGrid w:val="0"/>
              <w:spacing w:line="0" w:lineRule="atLeast"/>
              <w:jc w:val="center"/>
              <w:rPr>
                <w:rFonts w:ascii="仿宋_GB2312" w:eastAsia="仿宋_GB2312"/>
                <w:sz w:val="18"/>
              </w:rPr>
            </w:pPr>
            <w:r>
              <w:rPr>
                <w:rFonts w:ascii="仿宋_GB2312" w:eastAsia="仿宋_GB2312"/>
                <w:sz w:val="18"/>
              </w:rPr>
              <w:t>电气工程及其自动化</w:t>
            </w:r>
          </w:p>
        </w:tc>
        <w:tc>
          <w:tcPr>
            <w:tcW w:w="640"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2551</w:t>
            </w:r>
          </w:p>
        </w:tc>
        <w:tc>
          <w:tcPr>
            <w:tcW w:w="527"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62</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1482</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1069</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2335</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372</w:t>
            </w:r>
          </w:p>
        </w:tc>
        <w:tc>
          <w:tcPr>
            <w:tcW w:w="588"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939</w:t>
            </w:r>
          </w:p>
        </w:tc>
        <w:tc>
          <w:tcPr>
            <w:tcW w:w="528"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18</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169</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102</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67</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27</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146</w:t>
            </w:r>
          </w:p>
        </w:tc>
        <w:tc>
          <w:tcPr>
            <w:tcW w:w="528" w:type="dxa"/>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23</w:t>
            </w:r>
          </w:p>
        </w:tc>
        <w:tc>
          <w:tcPr>
            <w:tcW w:w="659" w:type="dxa"/>
            <w:tcBorders>
              <w:right w:val="single" w:color="auto" w:sz="12" w:space="0"/>
            </w:tcBorders>
            <w:shd w:val="clear" w:color="auto" w:fill="auto"/>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jc w:val="center"/>
        </w:trPr>
        <w:tc>
          <w:tcPr>
            <w:tcW w:w="9072" w:type="dxa"/>
            <w:gridSpan w:val="16"/>
            <w:tcBorders>
              <w:left w:val="single" w:color="auto" w:sz="12" w:space="0"/>
              <w:bottom w:val="single" w:color="auto" w:sz="12" w:space="0"/>
              <w:right w:val="single" w:color="auto" w:sz="12" w:space="0"/>
            </w:tcBorders>
            <w:shd w:val="clear" w:color="auto" w:fill="auto"/>
            <w:vAlign w:val="center"/>
          </w:tcPr>
          <w:p>
            <w:pPr>
              <w:widowControl/>
              <w:snapToGrid w:val="0"/>
              <w:spacing w:line="0" w:lineRule="atLeast"/>
              <w:rPr>
                <w:rFonts w:ascii="仿宋_GB2312" w:eastAsia="仿宋_GB2312"/>
                <w:sz w:val="18"/>
              </w:rPr>
            </w:pPr>
          </w:p>
          <w:p>
            <w:pPr>
              <w:widowControl/>
              <w:snapToGrid w:val="0"/>
              <w:spacing w:line="0" w:lineRule="atLeast"/>
              <w:rPr>
                <w:rFonts w:ascii="仿宋_GB2312" w:eastAsia="仿宋_GB2312"/>
                <w:sz w:val="18"/>
              </w:rPr>
            </w:pPr>
            <w:r>
              <w:rPr>
                <w:rFonts w:hint="eastAsia" w:ascii="仿宋_GB2312" w:eastAsia="仿宋_GB2312"/>
                <w:sz w:val="18"/>
              </w:rPr>
              <w:t>其中：选修课学分占总学分的比例为</w:t>
            </w:r>
            <w:r>
              <w:rPr>
                <w:rFonts w:hint="eastAsia" w:ascii="仿宋_GB2312" w:eastAsia="仿宋_GB2312"/>
                <w:sz w:val="18"/>
                <w:u w:val="single"/>
              </w:rPr>
              <w:t xml:space="preserve">  39.6  </w:t>
            </w:r>
            <w:r>
              <w:rPr>
                <w:rFonts w:hint="eastAsia" w:ascii="仿宋_GB2312" w:eastAsia="仿宋_GB2312"/>
                <w:sz w:val="18"/>
              </w:rPr>
              <w:t xml:space="preserve"> %；小班化教学学时占课内教学学时的比例为</w:t>
            </w:r>
            <w:r>
              <w:rPr>
                <w:rFonts w:hint="eastAsia" w:ascii="仿宋_GB2312" w:eastAsia="仿宋_GB2312"/>
                <w:sz w:val="18"/>
                <w:u w:val="single"/>
              </w:rPr>
              <w:t xml:space="preserve">  40.2  </w:t>
            </w:r>
            <w:r>
              <w:rPr>
                <w:rFonts w:hint="eastAsia" w:ascii="仿宋_GB2312" w:eastAsia="仿宋_GB2312"/>
                <w:sz w:val="18"/>
              </w:rPr>
              <w:t xml:space="preserve"> %；分层分类教学课程门数占总课程门数的比例为</w:t>
            </w:r>
            <w:r>
              <w:rPr>
                <w:rFonts w:hint="eastAsia" w:ascii="仿宋_GB2312" w:eastAsia="仿宋_GB2312"/>
                <w:sz w:val="18"/>
                <w:u w:val="single"/>
              </w:rPr>
              <w:t xml:space="preserve">  29.0  </w:t>
            </w:r>
            <w:r>
              <w:rPr>
                <w:rFonts w:hint="eastAsia" w:ascii="仿宋_GB2312" w:eastAsia="仿宋_GB2312"/>
                <w:sz w:val="18"/>
              </w:rPr>
              <w:t xml:space="preserve"> %。</w:t>
            </w:r>
          </w:p>
          <w:p>
            <w:pPr>
              <w:widowControl/>
              <w:snapToGrid w:val="0"/>
              <w:spacing w:line="0" w:lineRule="atLeast"/>
              <w:rPr>
                <w:rFonts w:ascii="仿宋_GB2312" w:eastAsia="仿宋_GB2312"/>
                <w:sz w:val="18"/>
              </w:rPr>
            </w:pPr>
          </w:p>
        </w:tc>
      </w:tr>
    </w:tbl>
    <w:p>
      <w:pPr>
        <w:jc w:val="center"/>
        <w:rPr>
          <w:rFonts w:ascii="仿宋_GB2312" w:eastAsia="仿宋_GB2312"/>
        </w:rPr>
      </w:pPr>
    </w:p>
    <w:p>
      <w:pPr>
        <w:jc w:val="center"/>
        <w:rPr>
          <w:rFonts w:ascii="仿宋_GB2312" w:eastAsia="仿宋_GB2312"/>
          <w:b/>
        </w:rPr>
      </w:pPr>
    </w:p>
    <w:p>
      <w:pPr>
        <w:jc w:val="center"/>
        <w:rPr>
          <w:rFonts w:ascii="仿宋_GB2312" w:eastAsia="仿宋_GB2312"/>
        </w:rPr>
      </w:pPr>
      <w:r>
        <w:rPr>
          <w:rFonts w:hint="eastAsia" w:ascii="仿宋_GB2312" w:eastAsia="仿宋_GB2312"/>
          <w:b/>
        </w:rPr>
        <w:t>（二）实践性课程统计和学分数统计</w:t>
      </w:r>
    </w:p>
    <w:p>
      <w:pPr>
        <w:jc w:val="center"/>
        <w:rPr>
          <w:rFonts w:ascii="仿宋_GB2312" w:eastAsia="仿宋_GB2312"/>
        </w:rPr>
      </w:pPr>
    </w:p>
    <w:tbl>
      <w:tblPr>
        <w:tblStyle w:val="15"/>
        <w:tblW w:w="9000" w:type="dxa"/>
        <w:jc w:val="center"/>
        <w:tblInd w:w="-73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70"/>
        <w:gridCol w:w="931"/>
        <w:gridCol w:w="1071"/>
        <w:gridCol w:w="976"/>
        <w:gridCol w:w="24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12" w:space="0"/>
              <w:left w:val="single" w:color="auto" w:sz="12" w:space="0"/>
              <w:bottom w:val="single" w:color="auto" w:sz="4" w:space="0"/>
              <w:right w:val="single" w:color="auto" w:sz="4" w:space="0"/>
            </w:tcBorders>
            <w:vAlign w:val="center"/>
          </w:tcPr>
          <w:p>
            <w:pPr>
              <w:spacing w:line="0" w:lineRule="atLeast"/>
              <w:jc w:val="center"/>
              <w:rPr>
                <w:rFonts w:ascii="仿宋_GB2312" w:hAnsi="宋体" w:eastAsia="仿宋_GB2312"/>
                <w:sz w:val="18"/>
              </w:rPr>
            </w:pPr>
            <w:r>
              <w:rPr>
                <w:rFonts w:hint="eastAsia" w:ascii="仿宋_GB2312" w:hAnsi="宋体" w:eastAsia="仿宋_GB2312"/>
                <w:sz w:val="18"/>
              </w:rPr>
              <w:t>类    别</w:t>
            </w:r>
          </w:p>
        </w:tc>
        <w:tc>
          <w:tcPr>
            <w:tcW w:w="931" w:type="dxa"/>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hAnsi="宋体" w:eastAsia="仿宋_GB2312"/>
                <w:sz w:val="18"/>
              </w:rPr>
            </w:pPr>
            <w:r>
              <w:rPr>
                <w:rFonts w:hint="eastAsia" w:ascii="仿宋_GB2312" w:hAnsi="宋体" w:eastAsia="仿宋_GB2312"/>
                <w:sz w:val="18"/>
              </w:rPr>
              <w:t>课时</w:t>
            </w:r>
          </w:p>
        </w:tc>
        <w:tc>
          <w:tcPr>
            <w:tcW w:w="1071" w:type="dxa"/>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hAnsi="宋体" w:eastAsia="仿宋_GB2312"/>
                <w:sz w:val="18"/>
              </w:rPr>
            </w:pPr>
            <w:r>
              <w:rPr>
                <w:rFonts w:hint="eastAsia" w:ascii="仿宋_GB2312" w:hAnsi="宋体" w:eastAsia="仿宋_GB2312"/>
                <w:sz w:val="18"/>
              </w:rPr>
              <w:t>周  数</w:t>
            </w:r>
          </w:p>
        </w:tc>
        <w:tc>
          <w:tcPr>
            <w:tcW w:w="976" w:type="dxa"/>
            <w:tcBorders>
              <w:top w:val="single" w:color="auto" w:sz="12" w:space="0"/>
              <w:left w:val="single" w:color="auto" w:sz="4" w:space="0"/>
              <w:bottom w:val="single" w:color="auto" w:sz="4" w:space="0"/>
              <w:right w:val="single" w:color="auto" w:sz="4" w:space="0"/>
            </w:tcBorders>
          </w:tcPr>
          <w:p>
            <w:pPr>
              <w:spacing w:line="0" w:lineRule="atLeast"/>
              <w:jc w:val="center"/>
              <w:rPr>
                <w:rFonts w:ascii="仿宋_GB2312" w:hAnsi="宋体" w:eastAsia="仿宋_GB2312"/>
                <w:sz w:val="18"/>
              </w:rPr>
            </w:pPr>
            <w:r>
              <w:rPr>
                <w:rFonts w:hint="eastAsia" w:ascii="仿宋_GB2312" w:hAnsi="宋体" w:eastAsia="仿宋_GB2312"/>
                <w:sz w:val="18"/>
              </w:rPr>
              <w:t>学分</w:t>
            </w:r>
          </w:p>
        </w:tc>
        <w:tc>
          <w:tcPr>
            <w:tcW w:w="2452" w:type="dxa"/>
            <w:tcBorders>
              <w:top w:val="single" w:color="auto" w:sz="12" w:space="0"/>
              <w:left w:val="single" w:color="auto" w:sz="4" w:space="0"/>
              <w:bottom w:val="single" w:color="auto" w:sz="4" w:space="0"/>
              <w:right w:val="single" w:color="auto" w:sz="12" w:space="0"/>
            </w:tcBorders>
            <w:vAlign w:val="center"/>
          </w:tcPr>
          <w:p>
            <w:pPr>
              <w:spacing w:line="0" w:lineRule="atLeast"/>
              <w:jc w:val="center"/>
              <w:rPr>
                <w:rFonts w:ascii="仿宋_GB2312" w:hAnsi="宋体" w:eastAsia="仿宋_GB2312"/>
                <w:sz w:val="18"/>
              </w:rPr>
            </w:pPr>
            <w:r>
              <w:rPr>
                <w:rFonts w:hint="eastAsia" w:ascii="仿宋_GB2312" w:hAnsi="宋体" w:eastAsia="仿宋_GB2312"/>
                <w:sz w:val="18"/>
              </w:rPr>
              <w:t>备    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课时内实验（实训）</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372</w:t>
            </w: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23</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通识必修课社会实践</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2</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读书报告（调研报告）</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学年论文（学年项目设计）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课程设计（实验设计）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8周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8</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课外科技活动</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5</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r>
              <w:rPr>
                <w:rFonts w:ascii="仿宋_GB2312" w:eastAsia="仿宋_GB2312"/>
                <w:sz w:val="18"/>
              </w:rPr>
              <w:t>第</w:t>
            </w:r>
            <w:r>
              <w:rPr>
                <w:rFonts w:hint="eastAsia" w:ascii="仿宋_GB2312" w:eastAsia="仿宋_GB2312"/>
                <w:sz w:val="18"/>
              </w:rPr>
              <w:t>2课堂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军事训练</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1</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专业见习、实习</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14周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8</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毕业论文（设计）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16周</w:t>
            </w:r>
          </w:p>
        </w:tc>
        <w:tc>
          <w:tcPr>
            <w:tcW w:w="976" w:type="dxa"/>
            <w:tcBorders>
              <w:top w:val="single" w:color="auto" w:sz="4" w:space="0"/>
              <w:left w:val="single" w:color="auto" w:sz="4" w:space="0"/>
              <w:bottom w:val="single" w:color="auto" w:sz="4"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8</w:t>
            </w:r>
          </w:p>
        </w:tc>
        <w:tc>
          <w:tcPr>
            <w:tcW w:w="2452"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3570" w:type="dxa"/>
            <w:tcBorders>
              <w:top w:val="single" w:color="auto" w:sz="4" w:space="0"/>
              <w:left w:val="single" w:color="auto" w:sz="12" w:space="0"/>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合   计</w:t>
            </w:r>
          </w:p>
        </w:tc>
        <w:tc>
          <w:tcPr>
            <w:tcW w:w="931"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rFonts w:ascii="仿宋_GB2312" w:eastAsia="仿宋_GB2312"/>
                <w:sz w:val="18"/>
              </w:rPr>
            </w:pPr>
          </w:p>
        </w:tc>
        <w:tc>
          <w:tcPr>
            <w:tcW w:w="1071"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rFonts w:ascii="仿宋_GB2312" w:eastAsia="仿宋_GB2312"/>
                <w:sz w:val="18"/>
              </w:rPr>
            </w:pPr>
          </w:p>
        </w:tc>
        <w:tc>
          <w:tcPr>
            <w:tcW w:w="976" w:type="dxa"/>
            <w:tcBorders>
              <w:top w:val="single" w:color="auto" w:sz="4" w:space="0"/>
              <w:left w:val="single" w:color="auto" w:sz="4" w:space="0"/>
              <w:bottom w:val="single" w:color="auto" w:sz="12" w:space="0"/>
              <w:right w:val="single" w:color="auto" w:sz="4" w:space="0"/>
            </w:tcBorders>
          </w:tcPr>
          <w:p>
            <w:pPr>
              <w:spacing w:line="0" w:lineRule="atLeast"/>
              <w:jc w:val="center"/>
              <w:rPr>
                <w:rFonts w:ascii="仿宋_GB2312" w:eastAsia="仿宋_GB2312"/>
                <w:sz w:val="18"/>
              </w:rPr>
            </w:pPr>
            <w:r>
              <w:rPr>
                <w:rFonts w:hint="eastAsia" w:ascii="仿宋_GB2312" w:eastAsia="仿宋_GB2312"/>
                <w:sz w:val="18"/>
              </w:rPr>
              <w:t>55</w:t>
            </w:r>
          </w:p>
        </w:tc>
        <w:tc>
          <w:tcPr>
            <w:tcW w:w="2452" w:type="dxa"/>
            <w:tcBorders>
              <w:top w:val="single" w:color="auto" w:sz="4" w:space="0"/>
              <w:left w:val="single" w:color="auto" w:sz="4" w:space="0"/>
              <w:bottom w:val="single" w:color="auto" w:sz="12" w:space="0"/>
              <w:right w:val="single" w:color="auto" w:sz="12" w:space="0"/>
            </w:tcBorders>
            <w:vAlign w:val="center"/>
          </w:tcPr>
          <w:p>
            <w:pPr>
              <w:spacing w:line="0" w:lineRule="atLeast"/>
              <w:jc w:val="center"/>
              <w:rPr>
                <w:rFonts w:ascii="仿宋_GB2312" w:eastAsia="仿宋_GB2312"/>
                <w:sz w:val="18"/>
              </w:rPr>
            </w:pPr>
            <w:r>
              <w:rPr>
                <w:rFonts w:hint="eastAsia" w:ascii="仿宋_GB2312" w:eastAsia="仿宋_GB2312"/>
                <w:sz w:val="18"/>
              </w:rPr>
              <w:t>占总学分比例 32.5%</w:t>
            </w:r>
          </w:p>
        </w:tc>
      </w:tr>
    </w:tbl>
    <w:p>
      <w:pPr>
        <w:rPr>
          <w:rFonts w:ascii="仿宋_GB2312" w:eastAsia="仿宋_GB2312"/>
        </w:rPr>
      </w:pPr>
    </w:p>
    <w:p>
      <w:pPr>
        <w:ind w:left="359" w:leftChars="171" w:firstLine="2424" w:firstLineChars="1150"/>
        <w:rPr>
          <w:rFonts w:ascii="仿宋_GB2312" w:eastAsia="仿宋_GB2312"/>
          <w:b/>
        </w:rPr>
      </w:pPr>
      <w:r>
        <w:rPr>
          <w:rFonts w:hint="eastAsia" w:ascii="仿宋_GB2312" w:eastAsia="仿宋_GB2312"/>
          <w:b/>
        </w:rPr>
        <w:t>（三）各学期课程教学周学时统计（实践环节除外）</w:t>
      </w:r>
    </w:p>
    <w:tbl>
      <w:tblPr>
        <w:tblStyle w:val="15"/>
        <w:tblW w:w="9006" w:type="dxa"/>
        <w:jc w:val="center"/>
        <w:tblInd w:w="0" w:type="dxa"/>
        <w:tblLayout w:type="fixed"/>
        <w:tblCellMar>
          <w:top w:w="0" w:type="dxa"/>
          <w:left w:w="108" w:type="dxa"/>
          <w:bottom w:w="0" w:type="dxa"/>
          <w:right w:w="108" w:type="dxa"/>
        </w:tblCellMar>
      </w:tblPr>
      <w:tblGrid>
        <w:gridCol w:w="1594"/>
        <w:gridCol w:w="926"/>
        <w:gridCol w:w="927"/>
        <w:gridCol w:w="926"/>
        <w:gridCol w:w="927"/>
        <w:gridCol w:w="926"/>
        <w:gridCol w:w="927"/>
        <w:gridCol w:w="926"/>
        <w:gridCol w:w="927"/>
      </w:tblGrid>
      <w:tr>
        <w:tblPrEx>
          <w:tblLayout w:type="fixed"/>
          <w:tblCellMar>
            <w:top w:w="0" w:type="dxa"/>
            <w:left w:w="108" w:type="dxa"/>
            <w:bottom w:w="0" w:type="dxa"/>
            <w:right w:w="108" w:type="dxa"/>
          </w:tblCellMar>
        </w:tblPrEx>
        <w:trPr>
          <w:cantSplit/>
          <w:trHeight w:val="314" w:hRule="atLeast"/>
          <w:jc w:val="center"/>
        </w:trPr>
        <w:tc>
          <w:tcPr>
            <w:tcW w:w="1594" w:type="dxa"/>
            <w:vMerge w:val="restart"/>
            <w:tcBorders>
              <w:top w:val="single" w:color="auto" w:sz="12" w:space="0"/>
              <w:left w:val="single" w:color="auto" w:sz="12" w:space="0"/>
              <w:bottom w:val="single" w:color="auto" w:sz="4" w:space="0"/>
              <w:right w:val="single" w:color="auto" w:sz="4" w:space="0"/>
              <w:tl2br w:val="single" w:color="auto" w:sz="4" w:space="0"/>
            </w:tcBorders>
            <w:vAlign w:val="center"/>
          </w:tcPr>
          <w:p>
            <w:pPr>
              <w:spacing w:line="0" w:lineRule="atLeast"/>
              <w:jc w:val="center"/>
              <w:rPr>
                <w:rFonts w:ascii="仿宋_GB2312" w:hAnsi="宋体" w:eastAsia="仿宋_GB2312"/>
                <w:sz w:val="18"/>
              </w:rPr>
            </w:pPr>
            <w:r>
              <w:rPr>
                <w:rFonts w:hint="eastAsia" w:ascii="仿宋_GB2312" w:hAnsi="宋体" w:eastAsia="仿宋_GB2312"/>
                <w:sz w:val="18"/>
              </w:rPr>
              <w:t xml:space="preserve">        学 期</w:t>
            </w:r>
          </w:p>
          <w:p>
            <w:pPr>
              <w:spacing w:line="0" w:lineRule="atLeast"/>
              <w:rPr>
                <w:rFonts w:ascii="仿宋_GB2312" w:eastAsia="仿宋_GB2312"/>
                <w:sz w:val="18"/>
              </w:rPr>
            </w:pPr>
            <w:r>
              <w:rPr>
                <w:rFonts w:hint="eastAsia" w:ascii="仿宋_GB2312" w:hAnsi="宋体" w:eastAsia="仿宋_GB2312"/>
                <w:sz w:val="18"/>
              </w:rPr>
              <w:t>类别</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7</w:t>
            </w:r>
          </w:p>
        </w:tc>
        <w:tc>
          <w:tcPr>
            <w:tcW w:w="927" w:type="dxa"/>
            <w:vMerge w:val="restart"/>
            <w:tcBorders>
              <w:top w:val="single" w:color="auto" w:sz="12"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r>
              <w:rPr>
                <w:rFonts w:hint="eastAsia" w:ascii="仿宋_GB2312" w:eastAsia="仿宋_GB2312"/>
                <w:sz w:val="18"/>
              </w:rPr>
              <w:t>8</w:t>
            </w:r>
          </w:p>
        </w:tc>
      </w:tr>
      <w:tr>
        <w:tblPrEx>
          <w:tblLayout w:type="fixed"/>
          <w:tblCellMar>
            <w:top w:w="0" w:type="dxa"/>
            <w:left w:w="108" w:type="dxa"/>
            <w:bottom w:w="0" w:type="dxa"/>
            <w:right w:w="108" w:type="dxa"/>
          </w:tblCellMar>
        </w:tblPrEx>
        <w:trPr>
          <w:cantSplit/>
          <w:trHeight w:val="314" w:hRule="atLeast"/>
          <w:jc w:val="center"/>
        </w:trPr>
        <w:tc>
          <w:tcPr>
            <w:tcW w:w="1594" w:type="dxa"/>
            <w:vMerge w:val="continue"/>
            <w:tcBorders>
              <w:top w:val="single" w:color="auto" w:sz="4" w:space="0"/>
              <w:left w:val="single" w:color="auto" w:sz="12"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vMerge w:val="continue"/>
            <w:tcBorders>
              <w:top w:val="single" w:color="auto" w:sz="4" w:space="0"/>
              <w:left w:val="single" w:color="auto" w:sz="4" w:space="0"/>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通识必修课学时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18</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19</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9</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0</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r>
              <w:rPr>
                <w:rFonts w:hint="eastAsia" w:ascii="仿宋_GB2312" w:eastAsia="仿宋_GB2312"/>
                <w:sz w:val="18"/>
              </w:rPr>
              <w:t>0</w:t>
            </w: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通识选修课学时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大类基础课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256"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专业必修课学时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8</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256"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专业方向限选学时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专业选修课学时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375" w:hRule="atLeast"/>
          <w:jc w:val="center"/>
        </w:trPr>
        <w:tc>
          <w:tcPr>
            <w:tcW w:w="1594" w:type="dxa"/>
            <w:tcBorders>
              <w:top w:val="single" w:color="auto" w:sz="4" w:space="0"/>
              <w:left w:val="single" w:color="auto" w:sz="12" w:space="0"/>
              <w:bottom w:val="single" w:color="auto" w:sz="4"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综合素养课学时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rFonts w:ascii="仿宋_GB2312" w:eastAsia="仿宋_GB2312"/>
                <w:sz w:val="18"/>
              </w:rPr>
            </w:pP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rFonts w:ascii="仿宋_GB2312" w:eastAsia="仿宋_GB2312"/>
                <w:sz w:val="18"/>
              </w:rPr>
            </w:pPr>
          </w:p>
        </w:tc>
      </w:tr>
      <w:tr>
        <w:tblPrEx>
          <w:tblLayout w:type="fixed"/>
          <w:tblCellMar>
            <w:top w:w="0" w:type="dxa"/>
            <w:left w:w="108" w:type="dxa"/>
            <w:bottom w:w="0" w:type="dxa"/>
            <w:right w:w="108" w:type="dxa"/>
          </w:tblCellMar>
        </w:tblPrEx>
        <w:trPr>
          <w:trHeight w:val="281" w:hRule="atLeast"/>
          <w:jc w:val="center"/>
        </w:trPr>
        <w:tc>
          <w:tcPr>
            <w:tcW w:w="1594" w:type="dxa"/>
            <w:tcBorders>
              <w:top w:val="single" w:color="auto" w:sz="4" w:space="0"/>
              <w:left w:val="single" w:color="auto" w:sz="12" w:space="0"/>
              <w:bottom w:val="single" w:color="auto" w:sz="12" w:space="0"/>
              <w:right w:val="single" w:color="auto" w:sz="4" w:space="0"/>
            </w:tcBorders>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建议学期总的</w:t>
            </w:r>
          </w:p>
          <w:p>
            <w:pPr>
              <w:spacing w:line="0" w:lineRule="atLeast"/>
              <w:jc w:val="center"/>
              <w:rPr>
                <w:rFonts w:ascii="仿宋_GB2312" w:eastAsia="仿宋_GB2312"/>
                <w:sz w:val="18"/>
              </w:rPr>
            </w:pPr>
            <w:r>
              <w:rPr>
                <w:rFonts w:hint="eastAsia" w:ascii="仿宋_GB2312" w:eastAsia="仿宋_GB2312"/>
                <w:sz w:val="18"/>
              </w:rPr>
              <w:t>周学时</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24</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25</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23</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24</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22</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22</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927" w:type="dxa"/>
            <w:tcBorders>
              <w:top w:val="single" w:color="auto" w:sz="4" w:space="0"/>
              <w:left w:val="nil"/>
              <w:bottom w:val="single" w:color="auto" w:sz="12" w:space="0"/>
              <w:right w:val="single" w:color="auto" w:sz="12" w:space="0"/>
            </w:tcBorders>
            <w:vAlign w:val="center"/>
          </w:tcPr>
          <w:p>
            <w:pPr>
              <w:spacing w:line="0" w:lineRule="atLeast"/>
              <w:jc w:val="center"/>
              <w:rPr>
                <w:rFonts w:ascii="仿宋_GB2312" w:eastAsia="仿宋_GB2312"/>
                <w:sz w:val="18"/>
              </w:rPr>
            </w:pPr>
          </w:p>
        </w:tc>
      </w:tr>
    </w:tbl>
    <w:p>
      <w:pPr>
        <w:rPr>
          <w:rFonts w:ascii="仿宋_GB2312" w:eastAsia="仿宋_GB2312"/>
        </w:rPr>
      </w:pPr>
    </w:p>
    <w:p>
      <w:pPr>
        <w:rPr>
          <w:rFonts w:ascii="仿宋_GB2312" w:eastAsia="仿宋_GB2312"/>
        </w:rPr>
      </w:pPr>
    </w:p>
    <w:p>
      <w:pPr>
        <w:ind w:left="359" w:leftChars="171" w:firstLine="2424" w:firstLineChars="1150"/>
        <w:rPr>
          <w:rFonts w:ascii="仿宋_GB2312" w:eastAsia="仿宋_GB2312"/>
          <w:b/>
        </w:rPr>
      </w:pPr>
      <w:r>
        <w:rPr>
          <w:rFonts w:hint="eastAsia" w:ascii="仿宋_GB2312" w:eastAsia="仿宋_GB2312"/>
          <w:b/>
        </w:rPr>
        <w:t>（四）各学期考试课程统计</w:t>
      </w:r>
    </w:p>
    <w:p>
      <w:pPr>
        <w:jc w:val="center"/>
        <w:rPr>
          <w:rFonts w:ascii="仿宋_GB2312" w:eastAsia="仿宋_GB2312"/>
        </w:rPr>
      </w:pPr>
    </w:p>
    <w:tbl>
      <w:tblPr>
        <w:tblStyle w:val="15"/>
        <w:tblW w:w="910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1"/>
        <w:gridCol w:w="887"/>
        <w:gridCol w:w="532"/>
        <w:gridCol w:w="760"/>
        <w:gridCol w:w="1058"/>
        <w:gridCol w:w="883"/>
        <w:gridCol w:w="707"/>
        <w:gridCol w:w="883"/>
        <w:gridCol w:w="10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widowControl/>
              <w:snapToGrid w:val="0"/>
              <w:spacing w:line="0" w:lineRule="atLeast"/>
              <w:jc w:val="center"/>
              <w:rPr>
                <w:rFonts w:ascii="仿宋_GB2312" w:hAnsi="宋体" w:eastAsia="仿宋_GB2312"/>
                <w:sz w:val="18"/>
              </w:rPr>
            </w:pPr>
            <w:r>
              <w:rPr>
                <w:rFonts w:hint="eastAsia" w:ascii="仿宋_GB2312" w:hAnsi="宋体" w:eastAsia="仿宋_GB2312"/>
                <w:sz w:val="18"/>
              </w:rPr>
              <w:t>学   期</w:t>
            </w:r>
          </w:p>
        </w:tc>
        <w:tc>
          <w:tcPr>
            <w:tcW w:w="887"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1</w:t>
            </w:r>
          </w:p>
        </w:tc>
        <w:tc>
          <w:tcPr>
            <w:tcW w:w="532"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2</w:t>
            </w:r>
          </w:p>
        </w:tc>
        <w:tc>
          <w:tcPr>
            <w:tcW w:w="760"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3</w:t>
            </w:r>
          </w:p>
        </w:tc>
        <w:tc>
          <w:tcPr>
            <w:tcW w:w="1058"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4</w:t>
            </w:r>
          </w:p>
        </w:tc>
        <w:tc>
          <w:tcPr>
            <w:tcW w:w="883"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5</w:t>
            </w:r>
          </w:p>
        </w:tc>
        <w:tc>
          <w:tcPr>
            <w:tcW w:w="707"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6</w:t>
            </w:r>
          </w:p>
        </w:tc>
        <w:tc>
          <w:tcPr>
            <w:tcW w:w="883"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7</w:t>
            </w:r>
          </w:p>
        </w:tc>
        <w:tc>
          <w:tcPr>
            <w:tcW w:w="1058" w:type="dxa"/>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rFonts w:ascii="仿宋_GB2312" w:hAnsi="宋体" w:eastAsia="仿宋_GB2312"/>
                <w:sz w:val="18"/>
              </w:rPr>
            </w:pPr>
            <w:r>
              <w:rPr>
                <w:rFonts w:hint="eastAsia" w:ascii="仿宋_GB2312" w:hAnsi="宋体" w:eastAsia="仿宋_GB2312"/>
                <w:sz w:val="18"/>
              </w:rPr>
              <w:t>通识课程考试（门）</w:t>
            </w:r>
          </w:p>
        </w:tc>
        <w:tc>
          <w:tcPr>
            <w:tcW w:w="887" w:type="dxa"/>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532" w:type="dxa"/>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760" w:type="dxa"/>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1058" w:type="dxa"/>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883" w:type="dxa"/>
            <w:vAlign w:val="center"/>
          </w:tcPr>
          <w:p>
            <w:pPr>
              <w:spacing w:line="0" w:lineRule="atLeast"/>
              <w:jc w:val="center"/>
              <w:rPr>
                <w:rFonts w:ascii="仿宋_GB2312" w:eastAsia="仿宋_GB2312"/>
                <w:sz w:val="18"/>
              </w:rPr>
            </w:pPr>
          </w:p>
        </w:tc>
        <w:tc>
          <w:tcPr>
            <w:tcW w:w="707" w:type="dxa"/>
            <w:vAlign w:val="center"/>
          </w:tcPr>
          <w:p>
            <w:pPr>
              <w:spacing w:line="0" w:lineRule="atLeast"/>
              <w:jc w:val="center"/>
              <w:rPr>
                <w:rFonts w:ascii="仿宋_GB2312" w:eastAsia="仿宋_GB2312"/>
                <w:sz w:val="18"/>
              </w:rPr>
            </w:pPr>
          </w:p>
        </w:tc>
        <w:tc>
          <w:tcPr>
            <w:tcW w:w="883" w:type="dxa"/>
            <w:vAlign w:val="center"/>
          </w:tcPr>
          <w:p>
            <w:pPr>
              <w:spacing w:line="0" w:lineRule="atLeast"/>
              <w:jc w:val="center"/>
              <w:rPr>
                <w:rFonts w:ascii="仿宋_GB2312" w:eastAsia="仿宋_GB2312"/>
                <w:sz w:val="18"/>
              </w:rPr>
            </w:pPr>
          </w:p>
        </w:tc>
        <w:tc>
          <w:tcPr>
            <w:tcW w:w="1058" w:type="dxa"/>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rFonts w:ascii="仿宋_GB2312" w:hAnsi="宋体" w:eastAsia="仿宋_GB2312"/>
                <w:sz w:val="18"/>
              </w:rPr>
            </w:pPr>
            <w:r>
              <w:rPr>
                <w:rFonts w:hint="eastAsia" w:ascii="仿宋_GB2312" w:hAnsi="宋体" w:eastAsia="仿宋_GB2312"/>
                <w:sz w:val="18"/>
              </w:rPr>
              <w:t>大类基础课程考试（门）</w:t>
            </w:r>
          </w:p>
        </w:tc>
        <w:tc>
          <w:tcPr>
            <w:tcW w:w="887" w:type="dxa"/>
            <w:vAlign w:val="center"/>
          </w:tcPr>
          <w:p>
            <w:pPr>
              <w:spacing w:line="0" w:lineRule="atLeast"/>
              <w:jc w:val="center"/>
              <w:rPr>
                <w:rFonts w:ascii="仿宋_GB2312" w:eastAsia="仿宋_GB2312"/>
                <w:sz w:val="18"/>
              </w:rPr>
            </w:pPr>
          </w:p>
        </w:tc>
        <w:tc>
          <w:tcPr>
            <w:tcW w:w="532" w:type="dxa"/>
            <w:vAlign w:val="center"/>
          </w:tcPr>
          <w:p>
            <w:pPr>
              <w:spacing w:line="0" w:lineRule="atLeast"/>
              <w:jc w:val="center"/>
              <w:rPr>
                <w:rFonts w:ascii="仿宋_GB2312" w:eastAsia="仿宋_GB2312"/>
                <w:sz w:val="18"/>
              </w:rPr>
            </w:pPr>
          </w:p>
        </w:tc>
        <w:tc>
          <w:tcPr>
            <w:tcW w:w="760" w:type="dxa"/>
            <w:vAlign w:val="center"/>
          </w:tcPr>
          <w:p>
            <w:pPr>
              <w:spacing w:line="0" w:lineRule="atLeast"/>
              <w:jc w:val="center"/>
              <w:rPr>
                <w:rFonts w:ascii="仿宋_GB2312" w:eastAsia="仿宋_GB2312"/>
                <w:sz w:val="18"/>
              </w:rPr>
            </w:pPr>
          </w:p>
        </w:tc>
        <w:tc>
          <w:tcPr>
            <w:tcW w:w="1058" w:type="dxa"/>
            <w:vAlign w:val="center"/>
          </w:tcPr>
          <w:p>
            <w:pPr>
              <w:spacing w:line="0" w:lineRule="atLeast"/>
              <w:jc w:val="center"/>
              <w:rPr>
                <w:rFonts w:ascii="仿宋_GB2312" w:eastAsia="仿宋_GB2312"/>
                <w:sz w:val="18"/>
              </w:rPr>
            </w:pPr>
          </w:p>
        </w:tc>
        <w:tc>
          <w:tcPr>
            <w:tcW w:w="883" w:type="dxa"/>
            <w:vAlign w:val="center"/>
          </w:tcPr>
          <w:p>
            <w:pPr>
              <w:spacing w:line="0" w:lineRule="atLeast"/>
              <w:jc w:val="center"/>
              <w:rPr>
                <w:rFonts w:ascii="仿宋_GB2312" w:eastAsia="仿宋_GB2312"/>
                <w:sz w:val="18"/>
              </w:rPr>
            </w:pPr>
          </w:p>
        </w:tc>
        <w:tc>
          <w:tcPr>
            <w:tcW w:w="707" w:type="dxa"/>
            <w:vAlign w:val="center"/>
          </w:tcPr>
          <w:p>
            <w:pPr>
              <w:spacing w:line="0" w:lineRule="atLeast"/>
              <w:jc w:val="center"/>
              <w:rPr>
                <w:rFonts w:ascii="仿宋_GB2312" w:eastAsia="仿宋_GB2312"/>
                <w:sz w:val="18"/>
              </w:rPr>
            </w:pPr>
          </w:p>
        </w:tc>
        <w:tc>
          <w:tcPr>
            <w:tcW w:w="883" w:type="dxa"/>
            <w:vAlign w:val="center"/>
          </w:tcPr>
          <w:p>
            <w:pPr>
              <w:spacing w:line="0" w:lineRule="atLeast"/>
              <w:jc w:val="center"/>
              <w:rPr>
                <w:rFonts w:ascii="仿宋_GB2312" w:eastAsia="仿宋_GB2312"/>
                <w:sz w:val="18"/>
              </w:rPr>
            </w:pPr>
          </w:p>
        </w:tc>
        <w:tc>
          <w:tcPr>
            <w:tcW w:w="1058" w:type="dxa"/>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rFonts w:ascii="仿宋_GB2312" w:hAnsi="宋体" w:eastAsia="仿宋_GB2312"/>
                <w:sz w:val="18"/>
              </w:rPr>
            </w:pPr>
            <w:r>
              <w:rPr>
                <w:rFonts w:hint="eastAsia" w:ascii="仿宋_GB2312" w:hAnsi="宋体" w:eastAsia="仿宋_GB2312"/>
                <w:sz w:val="18"/>
              </w:rPr>
              <w:t>专业课程考试（门）</w:t>
            </w:r>
          </w:p>
        </w:tc>
        <w:tc>
          <w:tcPr>
            <w:tcW w:w="887" w:type="dxa"/>
            <w:vAlign w:val="center"/>
          </w:tcPr>
          <w:p>
            <w:pPr>
              <w:spacing w:line="0" w:lineRule="atLeast"/>
              <w:jc w:val="center"/>
              <w:rPr>
                <w:rFonts w:ascii="仿宋_GB2312" w:eastAsia="仿宋_GB2312"/>
                <w:sz w:val="18"/>
              </w:rPr>
            </w:pPr>
          </w:p>
        </w:tc>
        <w:tc>
          <w:tcPr>
            <w:tcW w:w="532" w:type="dxa"/>
            <w:vAlign w:val="center"/>
          </w:tcPr>
          <w:p>
            <w:pPr>
              <w:spacing w:line="0" w:lineRule="atLeast"/>
              <w:jc w:val="center"/>
              <w:rPr>
                <w:rFonts w:ascii="仿宋_GB2312" w:eastAsia="仿宋_GB2312"/>
                <w:sz w:val="18"/>
              </w:rPr>
            </w:pPr>
          </w:p>
        </w:tc>
        <w:tc>
          <w:tcPr>
            <w:tcW w:w="760" w:type="dxa"/>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1058" w:type="dxa"/>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883" w:type="dxa"/>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707" w:type="dxa"/>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883" w:type="dxa"/>
            <w:vAlign w:val="center"/>
          </w:tcPr>
          <w:p>
            <w:pPr>
              <w:spacing w:line="0" w:lineRule="atLeast"/>
              <w:jc w:val="center"/>
              <w:rPr>
                <w:rFonts w:ascii="仿宋_GB2312" w:eastAsia="仿宋_GB2312"/>
                <w:sz w:val="18"/>
              </w:rPr>
            </w:pPr>
          </w:p>
        </w:tc>
        <w:tc>
          <w:tcPr>
            <w:tcW w:w="1058" w:type="dxa"/>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rFonts w:ascii="仿宋_GB2312" w:hAnsi="宋体" w:eastAsia="仿宋_GB2312"/>
                <w:sz w:val="18"/>
              </w:rPr>
            </w:pPr>
            <w:r>
              <w:rPr>
                <w:rFonts w:hint="eastAsia" w:ascii="仿宋_GB2312" w:hAnsi="宋体" w:eastAsia="仿宋_GB2312"/>
                <w:sz w:val="18"/>
              </w:rPr>
              <w:t>合    计</w:t>
            </w:r>
          </w:p>
        </w:tc>
        <w:tc>
          <w:tcPr>
            <w:tcW w:w="887" w:type="dxa"/>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532" w:type="dxa"/>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760" w:type="dxa"/>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1058" w:type="dxa"/>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883" w:type="dxa"/>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707" w:type="dxa"/>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883" w:type="dxa"/>
            <w:vAlign w:val="center"/>
          </w:tcPr>
          <w:p>
            <w:pPr>
              <w:spacing w:line="0" w:lineRule="atLeast"/>
              <w:jc w:val="center"/>
              <w:rPr>
                <w:rFonts w:ascii="仿宋_GB2312" w:eastAsia="仿宋_GB2312"/>
                <w:sz w:val="18"/>
              </w:rPr>
            </w:pPr>
            <w:r>
              <w:rPr>
                <w:rFonts w:hint="eastAsia" w:ascii="仿宋_GB2312" w:eastAsia="仿宋_GB2312"/>
                <w:sz w:val="18"/>
              </w:rPr>
              <w:t>0</w:t>
            </w:r>
          </w:p>
        </w:tc>
        <w:tc>
          <w:tcPr>
            <w:tcW w:w="1058" w:type="dxa"/>
            <w:vAlign w:val="center"/>
          </w:tcPr>
          <w:p>
            <w:pPr>
              <w:spacing w:line="0" w:lineRule="atLeast"/>
              <w:jc w:val="center"/>
              <w:rPr>
                <w:rFonts w:ascii="仿宋_GB2312" w:eastAsia="仿宋_GB2312"/>
                <w:sz w:val="18"/>
              </w:rPr>
            </w:pPr>
            <w:r>
              <w:rPr>
                <w:rFonts w:hint="eastAsia" w:ascii="仿宋_GB2312" w:eastAsia="仿宋_GB2312"/>
                <w:sz w:val="18"/>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2341" w:type="dxa"/>
            <w:vAlign w:val="center"/>
          </w:tcPr>
          <w:p>
            <w:pPr>
              <w:spacing w:line="0" w:lineRule="atLeast"/>
              <w:jc w:val="center"/>
              <w:rPr>
                <w:rFonts w:ascii="仿宋_GB2312" w:hAnsi="宋体" w:eastAsia="仿宋_GB2312"/>
                <w:sz w:val="18"/>
              </w:rPr>
            </w:pPr>
            <w:r>
              <w:rPr>
                <w:rFonts w:hint="eastAsia" w:ascii="仿宋_GB2312" w:hAnsi="宋体" w:eastAsia="仿宋_GB2312"/>
                <w:sz w:val="18"/>
              </w:rPr>
              <w:t>其中教考分离门数</w:t>
            </w:r>
          </w:p>
        </w:tc>
        <w:tc>
          <w:tcPr>
            <w:tcW w:w="887" w:type="dxa"/>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532" w:type="dxa"/>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760" w:type="dxa"/>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1058" w:type="dxa"/>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883" w:type="dxa"/>
            <w:vAlign w:val="center"/>
          </w:tcPr>
          <w:p>
            <w:pPr>
              <w:spacing w:line="0" w:lineRule="atLeast"/>
              <w:jc w:val="center"/>
              <w:rPr>
                <w:rFonts w:ascii="仿宋_GB2312" w:eastAsia="仿宋_GB2312"/>
                <w:sz w:val="18"/>
              </w:rPr>
            </w:pPr>
          </w:p>
        </w:tc>
        <w:tc>
          <w:tcPr>
            <w:tcW w:w="707" w:type="dxa"/>
            <w:vAlign w:val="center"/>
          </w:tcPr>
          <w:p>
            <w:pPr>
              <w:spacing w:line="0" w:lineRule="atLeast"/>
              <w:jc w:val="center"/>
              <w:rPr>
                <w:rFonts w:ascii="仿宋_GB2312" w:eastAsia="仿宋_GB2312"/>
                <w:sz w:val="18"/>
              </w:rPr>
            </w:pPr>
          </w:p>
        </w:tc>
        <w:tc>
          <w:tcPr>
            <w:tcW w:w="883" w:type="dxa"/>
            <w:vAlign w:val="center"/>
          </w:tcPr>
          <w:p>
            <w:pPr>
              <w:spacing w:line="0" w:lineRule="atLeast"/>
              <w:jc w:val="center"/>
              <w:rPr>
                <w:rFonts w:ascii="仿宋_GB2312" w:eastAsia="仿宋_GB2312"/>
                <w:sz w:val="18"/>
              </w:rPr>
            </w:pPr>
          </w:p>
        </w:tc>
        <w:tc>
          <w:tcPr>
            <w:tcW w:w="1058" w:type="dxa"/>
            <w:vAlign w:val="center"/>
          </w:tcPr>
          <w:p>
            <w:pPr>
              <w:spacing w:line="0" w:lineRule="atLeast"/>
              <w:jc w:val="center"/>
              <w:rPr>
                <w:rFonts w:ascii="仿宋_GB2312" w:eastAsia="仿宋_GB2312"/>
                <w:sz w:val="18"/>
              </w:rPr>
            </w:pPr>
          </w:p>
        </w:tc>
      </w:tr>
    </w:tbl>
    <w:p>
      <w:pPr>
        <w:rPr>
          <w:rFonts w:ascii="仿宋_GB2312" w:eastAsia="仿宋_GB2312"/>
        </w:rPr>
      </w:pPr>
      <w:r>
        <w:rPr>
          <w:rFonts w:hint="eastAsia" w:ascii="仿宋_GB2312" w:eastAsia="仿宋_GB2312"/>
        </w:rPr>
        <w:t xml:space="preserve"> </w:t>
      </w:r>
    </w:p>
    <w:p>
      <w:pPr>
        <w:ind w:left="359" w:leftChars="171" w:firstLine="2424" w:firstLineChars="1150"/>
        <w:rPr>
          <w:rFonts w:ascii="仿宋_GB2312" w:eastAsia="仿宋_GB2312"/>
          <w:b/>
        </w:rPr>
      </w:pPr>
      <w:r>
        <w:rPr>
          <w:rFonts w:hint="eastAsia" w:ascii="仿宋_GB2312" w:eastAsia="仿宋_GB2312"/>
          <w:b/>
        </w:rPr>
        <w:t>（五）专业课程中跨领域课程统计</w:t>
      </w:r>
    </w:p>
    <w:p>
      <w:pPr>
        <w:jc w:val="center"/>
        <w:rPr>
          <w:rFonts w:ascii="仿宋_GB2312" w:eastAsia="仿宋_GB2312"/>
        </w:rPr>
      </w:pPr>
    </w:p>
    <w:tbl>
      <w:tblPr>
        <w:tblStyle w:val="15"/>
        <w:tblW w:w="916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1"/>
        <w:gridCol w:w="2126"/>
        <w:gridCol w:w="851"/>
        <w:gridCol w:w="567"/>
        <w:gridCol w:w="1134"/>
        <w:gridCol w:w="850"/>
        <w:gridCol w:w="2268"/>
        <w:gridCol w:w="7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widowControl/>
              <w:snapToGrid w:val="0"/>
              <w:spacing w:line="0" w:lineRule="atLeast"/>
              <w:jc w:val="center"/>
              <w:rPr>
                <w:rFonts w:ascii="仿宋_GB2312" w:hAnsi="宋体" w:eastAsia="仿宋_GB2312"/>
                <w:sz w:val="18"/>
              </w:rPr>
            </w:pPr>
            <w:r>
              <w:rPr>
                <w:rFonts w:hint="eastAsia" w:ascii="仿宋_GB2312" w:hAnsi="宋体" w:eastAsia="仿宋_GB2312"/>
                <w:sz w:val="18"/>
              </w:rPr>
              <w:t>序号</w:t>
            </w:r>
          </w:p>
        </w:tc>
        <w:tc>
          <w:tcPr>
            <w:tcW w:w="2126"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课程名称</w:t>
            </w:r>
          </w:p>
        </w:tc>
        <w:tc>
          <w:tcPr>
            <w:tcW w:w="851"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开设学期</w:t>
            </w:r>
          </w:p>
        </w:tc>
        <w:tc>
          <w:tcPr>
            <w:tcW w:w="567"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学分</w:t>
            </w:r>
          </w:p>
        </w:tc>
        <w:tc>
          <w:tcPr>
            <w:tcW w:w="1134"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类别</w:t>
            </w:r>
          </w:p>
        </w:tc>
        <w:tc>
          <w:tcPr>
            <w:tcW w:w="850"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开课学院</w:t>
            </w:r>
          </w:p>
        </w:tc>
        <w:tc>
          <w:tcPr>
            <w:tcW w:w="2268"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课程特色</w:t>
            </w:r>
          </w:p>
        </w:tc>
        <w:tc>
          <w:tcPr>
            <w:tcW w:w="797"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2126"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工程图学</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1</w:t>
            </w: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85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工学院</w:t>
            </w:r>
          </w:p>
        </w:tc>
        <w:tc>
          <w:tcPr>
            <w:tcW w:w="226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培养机械及电气装备的读图和绘图能力</w:t>
            </w:r>
          </w:p>
        </w:tc>
        <w:tc>
          <w:tcPr>
            <w:tcW w:w="797" w:type="dxa"/>
            <w:tcMar>
              <w:left w:w="0" w:type="dxa"/>
              <w:right w:w="0" w:type="dxa"/>
            </w:tcMar>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2126"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现代物流设施与规划</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85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工学院</w:t>
            </w:r>
          </w:p>
        </w:tc>
        <w:tc>
          <w:tcPr>
            <w:tcW w:w="226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跨物流领域</w:t>
            </w:r>
            <w:r>
              <w:rPr>
                <w:rFonts w:hint="eastAsia" w:ascii="仿宋_GB2312" w:eastAsia="仿宋_GB2312"/>
                <w:sz w:val="18"/>
              </w:rPr>
              <w:t>，</w:t>
            </w:r>
            <w:r>
              <w:rPr>
                <w:rFonts w:ascii="仿宋_GB2312" w:eastAsia="仿宋_GB2312"/>
                <w:sz w:val="18"/>
              </w:rPr>
              <w:t>介绍物流设备使用和规划管理</w:t>
            </w:r>
          </w:p>
        </w:tc>
        <w:tc>
          <w:tcPr>
            <w:tcW w:w="797" w:type="dxa"/>
            <w:tcMar>
              <w:left w:w="0" w:type="dxa"/>
              <w:right w:w="0" w:type="dxa"/>
            </w:tcMar>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2126"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物流技术与装备</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85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工学院</w:t>
            </w:r>
          </w:p>
        </w:tc>
        <w:tc>
          <w:tcPr>
            <w:tcW w:w="226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跨物流领域</w:t>
            </w:r>
            <w:r>
              <w:rPr>
                <w:rFonts w:hint="eastAsia" w:ascii="仿宋_GB2312" w:eastAsia="仿宋_GB2312"/>
                <w:sz w:val="18"/>
              </w:rPr>
              <w:t>，</w:t>
            </w:r>
            <w:r>
              <w:rPr>
                <w:rFonts w:ascii="仿宋_GB2312" w:eastAsia="仿宋_GB2312"/>
                <w:sz w:val="18"/>
              </w:rPr>
              <w:t>介绍物流装备技术和特点</w:t>
            </w:r>
          </w:p>
        </w:tc>
        <w:tc>
          <w:tcPr>
            <w:tcW w:w="797" w:type="dxa"/>
            <w:tcMar>
              <w:left w:w="0" w:type="dxa"/>
              <w:right w:w="0" w:type="dxa"/>
            </w:tcMar>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4</w:t>
            </w:r>
          </w:p>
        </w:tc>
        <w:tc>
          <w:tcPr>
            <w:tcW w:w="2126"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物流自动化系统设计与应用</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7</w:t>
            </w: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85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工学院</w:t>
            </w:r>
          </w:p>
        </w:tc>
        <w:tc>
          <w:tcPr>
            <w:tcW w:w="226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跨物流领域</w:t>
            </w:r>
            <w:r>
              <w:rPr>
                <w:rFonts w:hint="eastAsia" w:ascii="仿宋_GB2312" w:eastAsia="仿宋_GB2312"/>
                <w:sz w:val="18"/>
              </w:rPr>
              <w:t>，</w:t>
            </w:r>
            <w:r>
              <w:rPr>
                <w:rFonts w:ascii="仿宋_GB2312" w:eastAsia="仿宋_GB2312"/>
                <w:sz w:val="18"/>
              </w:rPr>
              <w:t>设计物流装备自动化系统</w:t>
            </w:r>
          </w:p>
        </w:tc>
        <w:tc>
          <w:tcPr>
            <w:tcW w:w="797" w:type="dxa"/>
            <w:tcMar>
              <w:left w:w="0" w:type="dxa"/>
              <w:right w:w="0" w:type="dxa"/>
            </w:tcMar>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2126"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软件技术基础</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85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工学院</w:t>
            </w:r>
          </w:p>
        </w:tc>
        <w:tc>
          <w:tcPr>
            <w:tcW w:w="226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跨计算机领域</w:t>
            </w:r>
            <w:r>
              <w:rPr>
                <w:rFonts w:hint="eastAsia" w:ascii="仿宋_GB2312" w:eastAsia="仿宋_GB2312"/>
                <w:sz w:val="18"/>
              </w:rPr>
              <w:t>，</w:t>
            </w:r>
            <w:r>
              <w:rPr>
                <w:rFonts w:ascii="仿宋_GB2312" w:eastAsia="仿宋_GB2312"/>
                <w:sz w:val="18"/>
              </w:rPr>
              <w:t>介绍数据结构</w:t>
            </w:r>
            <w:r>
              <w:rPr>
                <w:rFonts w:hint="eastAsia" w:ascii="仿宋_GB2312" w:eastAsia="仿宋_GB2312"/>
                <w:sz w:val="18"/>
              </w:rPr>
              <w:t>、</w:t>
            </w:r>
            <w:r>
              <w:rPr>
                <w:rFonts w:ascii="仿宋_GB2312" w:eastAsia="仿宋_GB2312"/>
                <w:sz w:val="18"/>
              </w:rPr>
              <w:t>搜索算法</w:t>
            </w:r>
            <w:r>
              <w:rPr>
                <w:rFonts w:hint="eastAsia" w:ascii="仿宋_GB2312" w:eastAsia="仿宋_GB2312"/>
                <w:sz w:val="18"/>
              </w:rPr>
              <w:t>、</w:t>
            </w:r>
            <w:r>
              <w:rPr>
                <w:rFonts w:ascii="仿宋_GB2312" w:eastAsia="仿宋_GB2312"/>
                <w:sz w:val="18"/>
              </w:rPr>
              <w:t>操作系统</w:t>
            </w:r>
            <w:r>
              <w:rPr>
                <w:rFonts w:hint="eastAsia" w:ascii="仿宋_GB2312" w:eastAsia="仿宋_GB2312"/>
                <w:sz w:val="18"/>
              </w:rPr>
              <w:t>、</w:t>
            </w:r>
            <w:r>
              <w:rPr>
                <w:rFonts w:ascii="仿宋_GB2312" w:eastAsia="仿宋_GB2312"/>
                <w:sz w:val="18"/>
              </w:rPr>
              <w:t>计算机通信等软件基础</w:t>
            </w:r>
          </w:p>
        </w:tc>
        <w:tc>
          <w:tcPr>
            <w:tcW w:w="797" w:type="dxa"/>
            <w:tcMar>
              <w:left w:w="0" w:type="dxa"/>
              <w:right w:w="0" w:type="dxa"/>
            </w:tcMar>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2126"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数据库技术</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2</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85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工学院</w:t>
            </w:r>
          </w:p>
        </w:tc>
        <w:tc>
          <w:tcPr>
            <w:tcW w:w="226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跨计算机领域</w:t>
            </w:r>
            <w:r>
              <w:rPr>
                <w:rFonts w:hint="eastAsia" w:ascii="仿宋_GB2312" w:eastAsia="仿宋_GB2312"/>
                <w:sz w:val="18"/>
              </w:rPr>
              <w:t>，</w:t>
            </w:r>
            <w:r>
              <w:rPr>
                <w:rFonts w:ascii="仿宋_GB2312" w:eastAsia="仿宋_GB2312"/>
                <w:sz w:val="18"/>
              </w:rPr>
              <w:t>介绍</w:t>
            </w:r>
            <w:r>
              <w:rPr>
                <w:rFonts w:hint="eastAsia" w:ascii="仿宋_GB2312" w:eastAsia="仿宋_GB2312"/>
                <w:sz w:val="18"/>
              </w:rPr>
              <w:t>SQL语言、数据库操作等数据库技术</w:t>
            </w:r>
          </w:p>
        </w:tc>
        <w:tc>
          <w:tcPr>
            <w:tcW w:w="797" w:type="dxa"/>
            <w:tcMar>
              <w:left w:w="0" w:type="dxa"/>
              <w:right w:w="0" w:type="dxa"/>
            </w:tcMar>
            <w:vAlign w:val="cente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71" w:type="dxa"/>
            <w:tcMar>
              <w:left w:w="0" w:type="dxa"/>
              <w:right w:w="0" w:type="dxa"/>
            </w:tcMar>
            <w:vAlign w:val="center"/>
          </w:tcPr>
          <w:p>
            <w:pPr>
              <w:spacing w:line="0" w:lineRule="atLeast"/>
              <w:jc w:val="center"/>
              <w:rPr>
                <w:rFonts w:ascii="仿宋_GB2312" w:hAnsi="宋体" w:eastAsia="仿宋_GB2312"/>
                <w:sz w:val="18"/>
              </w:rPr>
            </w:pPr>
            <w:r>
              <w:rPr>
                <w:rFonts w:hint="eastAsia" w:ascii="仿宋_GB2312" w:hAnsi="宋体" w:eastAsia="仿宋_GB2312"/>
                <w:sz w:val="18"/>
              </w:rPr>
              <w:t>合计</w:t>
            </w:r>
          </w:p>
        </w:tc>
        <w:tc>
          <w:tcPr>
            <w:tcW w:w="2126" w:type="dxa"/>
            <w:tcMar>
              <w:left w:w="0" w:type="dxa"/>
              <w:right w:w="0" w:type="dxa"/>
            </w:tcMar>
            <w:vAlign w:val="center"/>
          </w:tcPr>
          <w:p>
            <w:pPr>
              <w:spacing w:line="0" w:lineRule="atLeast"/>
              <w:jc w:val="center"/>
              <w:rPr>
                <w:rFonts w:ascii="仿宋_GB2312" w:eastAsia="仿宋_GB2312"/>
                <w:sz w:val="18"/>
              </w:rPr>
            </w:pPr>
          </w:p>
        </w:tc>
        <w:tc>
          <w:tcPr>
            <w:tcW w:w="851" w:type="dxa"/>
            <w:tcMar>
              <w:left w:w="0" w:type="dxa"/>
              <w:right w:w="0" w:type="dxa"/>
            </w:tcMar>
            <w:vAlign w:val="center"/>
          </w:tcPr>
          <w:p>
            <w:pPr>
              <w:spacing w:line="0" w:lineRule="atLeast"/>
              <w:jc w:val="center"/>
              <w:rPr>
                <w:rFonts w:ascii="仿宋_GB2312" w:eastAsia="仿宋_GB2312"/>
                <w:sz w:val="18"/>
              </w:rPr>
            </w:pPr>
          </w:p>
        </w:tc>
        <w:tc>
          <w:tcPr>
            <w:tcW w:w="567"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14</w:t>
            </w:r>
          </w:p>
        </w:tc>
        <w:tc>
          <w:tcPr>
            <w:tcW w:w="1134" w:type="dxa"/>
            <w:tcMar>
              <w:left w:w="0" w:type="dxa"/>
              <w:right w:w="0" w:type="dxa"/>
            </w:tcMar>
            <w:vAlign w:val="center"/>
          </w:tcPr>
          <w:p>
            <w:pPr>
              <w:spacing w:line="0" w:lineRule="atLeast"/>
              <w:jc w:val="center"/>
              <w:rPr>
                <w:rFonts w:ascii="仿宋_GB2312" w:eastAsia="仿宋_GB2312"/>
                <w:sz w:val="18"/>
              </w:rPr>
            </w:pPr>
          </w:p>
        </w:tc>
        <w:tc>
          <w:tcPr>
            <w:tcW w:w="850" w:type="dxa"/>
            <w:tcMar>
              <w:left w:w="0" w:type="dxa"/>
              <w:right w:w="0" w:type="dxa"/>
            </w:tcMar>
            <w:vAlign w:val="center"/>
          </w:tcPr>
          <w:p>
            <w:pPr>
              <w:spacing w:line="0" w:lineRule="atLeast"/>
              <w:jc w:val="center"/>
              <w:rPr>
                <w:rFonts w:ascii="仿宋_GB2312" w:eastAsia="仿宋_GB2312"/>
                <w:sz w:val="18"/>
              </w:rPr>
            </w:pPr>
          </w:p>
        </w:tc>
        <w:tc>
          <w:tcPr>
            <w:tcW w:w="2268" w:type="dxa"/>
            <w:tcMar>
              <w:left w:w="0" w:type="dxa"/>
              <w:right w:w="0" w:type="dxa"/>
            </w:tcMar>
            <w:vAlign w:val="center"/>
          </w:tcPr>
          <w:p>
            <w:pPr>
              <w:spacing w:line="0" w:lineRule="atLeast"/>
              <w:jc w:val="center"/>
              <w:rPr>
                <w:rFonts w:ascii="仿宋_GB2312" w:eastAsia="仿宋_GB2312"/>
                <w:sz w:val="18"/>
              </w:rPr>
            </w:pPr>
          </w:p>
        </w:tc>
        <w:tc>
          <w:tcPr>
            <w:tcW w:w="797" w:type="dxa"/>
            <w:tcMar>
              <w:left w:w="0" w:type="dxa"/>
              <w:right w:w="0" w:type="dxa"/>
            </w:tcMar>
            <w:vAlign w:val="center"/>
          </w:tcPr>
          <w:p>
            <w:pPr>
              <w:spacing w:line="0" w:lineRule="atLeast"/>
              <w:jc w:val="center"/>
              <w:rPr>
                <w:rFonts w:ascii="仿宋_GB2312" w:eastAsia="仿宋_GB2312"/>
                <w:sz w:val="18"/>
              </w:rPr>
            </w:pPr>
          </w:p>
        </w:tc>
      </w:tr>
    </w:tbl>
    <w:p>
      <w:pPr>
        <w:rPr>
          <w:rFonts w:ascii="仿宋_GB2312" w:eastAsia="仿宋_GB2312"/>
        </w:rPr>
      </w:pPr>
    </w:p>
    <w:p>
      <w:pPr>
        <w:ind w:left="359" w:leftChars="171" w:firstLine="2415" w:firstLineChars="1150"/>
        <w:rPr>
          <w:rFonts w:ascii="仿宋_GB2312" w:eastAsia="仿宋_GB2312"/>
          <w:b/>
        </w:rPr>
      </w:pPr>
      <w:r>
        <w:rPr>
          <w:rFonts w:hint="eastAsia" w:ascii="仿宋_GB2312" w:eastAsia="仿宋_GB2312"/>
        </w:rPr>
        <w:t xml:space="preserve"> </w:t>
      </w:r>
      <w:r>
        <w:rPr>
          <w:rFonts w:hint="eastAsia" w:ascii="仿宋_GB2312" w:eastAsia="仿宋_GB2312"/>
          <w:b/>
        </w:rPr>
        <w:t>（六）专业课程中校地共育、就业课程统计</w:t>
      </w:r>
    </w:p>
    <w:p>
      <w:pPr>
        <w:jc w:val="center"/>
        <w:rPr>
          <w:rFonts w:ascii="仿宋_GB2312" w:eastAsia="仿宋_GB2312"/>
        </w:rPr>
      </w:pPr>
    </w:p>
    <w:tbl>
      <w:tblPr>
        <w:tblStyle w:val="15"/>
        <w:tblW w:w="921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99"/>
        <w:gridCol w:w="1134"/>
        <w:gridCol w:w="851"/>
        <w:gridCol w:w="425"/>
        <w:gridCol w:w="992"/>
        <w:gridCol w:w="2452"/>
        <w:gridCol w:w="790"/>
        <w:gridCol w:w="988"/>
        <w:gridCol w:w="9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599" w:type="dxa"/>
            <w:tcMar>
              <w:left w:w="0" w:type="dxa"/>
              <w:right w:w="0" w:type="dxa"/>
            </w:tcMar>
            <w:vAlign w:val="center"/>
          </w:tcPr>
          <w:p>
            <w:pPr>
              <w:widowControl/>
              <w:snapToGrid w:val="0"/>
              <w:spacing w:line="0" w:lineRule="atLeast"/>
              <w:jc w:val="center"/>
              <w:rPr>
                <w:rFonts w:ascii="仿宋_GB2312" w:hAnsi="宋体" w:eastAsia="仿宋_GB2312"/>
                <w:sz w:val="18"/>
              </w:rPr>
            </w:pPr>
            <w:r>
              <w:rPr>
                <w:rFonts w:hint="eastAsia" w:ascii="仿宋_GB2312" w:hAnsi="宋体" w:eastAsia="仿宋_GB2312"/>
                <w:sz w:val="18"/>
              </w:rPr>
              <w:t>序号</w:t>
            </w:r>
          </w:p>
        </w:tc>
        <w:tc>
          <w:tcPr>
            <w:tcW w:w="1134"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课程名称</w:t>
            </w:r>
          </w:p>
        </w:tc>
        <w:tc>
          <w:tcPr>
            <w:tcW w:w="851"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开设学期</w:t>
            </w:r>
          </w:p>
        </w:tc>
        <w:tc>
          <w:tcPr>
            <w:tcW w:w="425"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学分</w:t>
            </w:r>
          </w:p>
        </w:tc>
        <w:tc>
          <w:tcPr>
            <w:tcW w:w="992"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类别</w:t>
            </w:r>
          </w:p>
        </w:tc>
        <w:tc>
          <w:tcPr>
            <w:tcW w:w="2452"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合作单位</w:t>
            </w:r>
          </w:p>
        </w:tc>
        <w:tc>
          <w:tcPr>
            <w:tcW w:w="790"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就业领域</w:t>
            </w:r>
          </w:p>
        </w:tc>
        <w:tc>
          <w:tcPr>
            <w:tcW w:w="988" w:type="dxa"/>
            <w:tcMar>
              <w:left w:w="0" w:type="dxa"/>
              <w:right w:w="0" w:type="dxa"/>
            </w:tcMar>
            <w:vAlign w:val="center"/>
          </w:tcPr>
          <w:p>
            <w:pPr>
              <w:widowControl/>
              <w:snapToGrid w:val="0"/>
              <w:spacing w:line="0" w:lineRule="atLeast"/>
              <w:jc w:val="center"/>
              <w:rPr>
                <w:rFonts w:ascii="仿宋_GB2312" w:eastAsia="仿宋_GB2312"/>
                <w:sz w:val="18"/>
              </w:rPr>
            </w:pPr>
            <w:r>
              <w:rPr>
                <w:rFonts w:hint="eastAsia" w:ascii="仿宋_GB2312" w:eastAsia="仿宋_GB2312"/>
                <w:sz w:val="18"/>
              </w:rPr>
              <w:t>就业职位</w:t>
            </w:r>
          </w:p>
        </w:tc>
        <w:tc>
          <w:tcPr>
            <w:tcW w:w="988" w:type="dxa"/>
            <w:tcMar>
              <w:left w:w="0" w:type="dxa"/>
              <w:right w:w="0" w:type="dxa"/>
            </w:tcMar>
          </w:tcPr>
          <w:p>
            <w:pPr>
              <w:widowControl/>
              <w:snapToGrid w:val="0"/>
              <w:spacing w:line="0" w:lineRule="atLeast"/>
              <w:jc w:val="center"/>
              <w:rPr>
                <w:rFonts w:ascii="仿宋_GB2312" w:eastAsia="仿宋_GB2312"/>
                <w:sz w:val="18"/>
              </w:rPr>
            </w:pPr>
            <w:r>
              <w:rPr>
                <w:rFonts w:hint="eastAsia" w:ascii="仿宋_GB2312" w:eastAsia="仿宋_GB2312"/>
                <w:sz w:val="18"/>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599" w:type="dxa"/>
            <w:tcMar>
              <w:left w:w="0" w:type="dxa"/>
              <w:right w:w="0" w:type="dxa"/>
            </w:tcMar>
            <w:vAlign w:val="center"/>
          </w:tcPr>
          <w:p>
            <w:pPr>
              <w:spacing w:line="0" w:lineRule="atLeast"/>
              <w:jc w:val="center"/>
              <w:rPr>
                <w:rFonts w:ascii="仿宋_GB2312" w:hAnsi="宋体" w:eastAsia="仿宋_GB2312"/>
                <w:sz w:val="18"/>
              </w:rPr>
            </w:pPr>
            <w:r>
              <w:rPr>
                <w:rFonts w:hint="eastAsia" w:ascii="仿宋_GB2312" w:hAnsi="宋体" w:eastAsia="仿宋_GB2312"/>
                <w:sz w:val="18"/>
              </w:rPr>
              <w:t>1</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供配电技术</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5</w:t>
            </w:r>
          </w:p>
        </w:tc>
        <w:tc>
          <w:tcPr>
            <w:tcW w:w="425"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92"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2452"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湖州泰仑电力自动化工程有限公司</w:t>
            </w:r>
          </w:p>
        </w:tc>
        <w:tc>
          <w:tcPr>
            <w:tcW w:w="79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电力</w:t>
            </w:r>
          </w:p>
        </w:tc>
        <w:tc>
          <w:tcPr>
            <w:tcW w:w="98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电气工程师</w:t>
            </w:r>
          </w:p>
        </w:tc>
        <w:tc>
          <w:tcPr>
            <w:tcW w:w="988" w:type="dxa"/>
            <w:tcMar>
              <w:left w:w="0" w:type="dxa"/>
              <w:right w:w="0" w:type="dxa"/>
            </w:tcMa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599" w:type="dxa"/>
            <w:tcMar>
              <w:left w:w="0" w:type="dxa"/>
              <w:right w:w="0" w:type="dxa"/>
            </w:tcMar>
            <w:vAlign w:val="center"/>
          </w:tcPr>
          <w:p>
            <w:pPr>
              <w:spacing w:line="0" w:lineRule="atLeast"/>
              <w:jc w:val="center"/>
              <w:rPr>
                <w:rFonts w:ascii="仿宋_GB2312" w:hAnsi="宋体" w:eastAsia="仿宋_GB2312"/>
                <w:sz w:val="18"/>
              </w:rPr>
            </w:pPr>
            <w:r>
              <w:rPr>
                <w:rFonts w:hint="eastAsia" w:ascii="仿宋_GB2312" w:hAnsi="宋体" w:eastAsia="仿宋_GB2312"/>
                <w:sz w:val="18"/>
              </w:rPr>
              <w:t>2</w:t>
            </w:r>
          </w:p>
        </w:tc>
        <w:tc>
          <w:tcPr>
            <w:tcW w:w="1134"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高电压技术</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6</w:t>
            </w:r>
          </w:p>
        </w:tc>
        <w:tc>
          <w:tcPr>
            <w:tcW w:w="425"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92"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2452"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国网浙江培训中心湖州分中心</w:t>
            </w:r>
          </w:p>
        </w:tc>
        <w:tc>
          <w:tcPr>
            <w:tcW w:w="79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电力</w:t>
            </w:r>
          </w:p>
        </w:tc>
        <w:tc>
          <w:tcPr>
            <w:tcW w:w="98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电气工程师</w:t>
            </w:r>
          </w:p>
        </w:tc>
        <w:tc>
          <w:tcPr>
            <w:tcW w:w="988" w:type="dxa"/>
            <w:tcMar>
              <w:left w:w="0" w:type="dxa"/>
              <w:right w:w="0" w:type="dxa"/>
            </w:tcMa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599" w:type="dxa"/>
            <w:tcMar>
              <w:left w:w="0" w:type="dxa"/>
              <w:right w:w="0" w:type="dxa"/>
            </w:tcMar>
            <w:vAlign w:val="center"/>
          </w:tcPr>
          <w:p>
            <w:pPr>
              <w:spacing w:line="0" w:lineRule="atLeast"/>
              <w:jc w:val="center"/>
              <w:rPr>
                <w:rFonts w:ascii="仿宋_GB2312" w:hAnsi="宋体" w:eastAsia="仿宋_GB2312"/>
                <w:sz w:val="18"/>
              </w:rPr>
            </w:pPr>
            <w:r>
              <w:rPr>
                <w:rFonts w:hint="eastAsia" w:ascii="仿宋_GB2312" w:hAnsi="宋体" w:eastAsia="仿宋_GB2312"/>
                <w:sz w:val="18"/>
              </w:rPr>
              <w:t>3</w:t>
            </w:r>
          </w:p>
        </w:tc>
        <w:tc>
          <w:tcPr>
            <w:tcW w:w="1134"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物流自动化系统设计与应用</w:t>
            </w:r>
          </w:p>
        </w:tc>
        <w:tc>
          <w:tcPr>
            <w:tcW w:w="851"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7</w:t>
            </w:r>
          </w:p>
        </w:tc>
        <w:tc>
          <w:tcPr>
            <w:tcW w:w="425"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3</w:t>
            </w:r>
          </w:p>
        </w:tc>
        <w:tc>
          <w:tcPr>
            <w:tcW w:w="992"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专业选修课</w:t>
            </w:r>
          </w:p>
        </w:tc>
        <w:tc>
          <w:tcPr>
            <w:tcW w:w="2452"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湖州德玛物流装备有限公司</w:t>
            </w:r>
          </w:p>
        </w:tc>
        <w:tc>
          <w:tcPr>
            <w:tcW w:w="790"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自动化</w:t>
            </w:r>
          </w:p>
        </w:tc>
        <w:tc>
          <w:tcPr>
            <w:tcW w:w="988" w:type="dxa"/>
            <w:tcMar>
              <w:left w:w="0" w:type="dxa"/>
              <w:right w:w="0" w:type="dxa"/>
            </w:tcMar>
            <w:vAlign w:val="center"/>
          </w:tcPr>
          <w:p>
            <w:pPr>
              <w:spacing w:line="0" w:lineRule="atLeast"/>
              <w:jc w:val="center"/>
              <w:rPr>
                <w:rFonts w:ascii="仿宋_GB2312" w:eastAsia="仿宋_GB2312"/>
                <w:sz w:val="18"/>
              </w:rPr>
            </w:pPr>
            <w:r>
              <w:rPr>
                <w:rFonts w:ascii="仿宋_GB2312" w:eastAsia="仿宋_GB2312"/>
                <w:sz w:val="18"/>
              </w:rPr>
              <w:t>控制工程师</w:t>
            </w:r>
          </w:p>
        </w:tc>
        <w:tc>
          <w:tcPr>
            <w:tcW w:w="988" w:type="dxa"/>
            <w:tcMar>
              <w:left w:w="0" w:type="dxa"/>
              <w:right w:w="0" w:type="dxa"/>
            </w:tcMar>
          </w:tcPr>
          <w:p>
            <w:pPr>
              <w:spacing w:line="0" w:lineRule="atLeast"/>
              <w:jc w:val="center"/>
              <w:rPr>
                <w:rFonts w:ascii="仿宋_GB2312" w:eastAsia="仿宋_GB2312"/>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599" w:type="dxa"/>
            <w:tcMar>
              <w:left w:w="0" w:type="dxa"/>
              <w:right w:w="0" w:type="dxa"/>
            </w:tcMar>
            <w:vAlign w:val="center"/>
          </w:tcPr>
          <w:p>
            <w:pPr>
              <w:spacing w:line="0" w:lineRule="atLeast"/>
              <w:jc w:val="center"/>
              <w:rPr>
                <w:rFonts w:ascii="仿宋_GB2312" w:hAnsi="宋体" w:eastAsia="仿宋_GB2312"/>
                <w:sz w:val="18"/>
              </w:rPr>
            </w:pPr>
            <w:r>
              <w:rPr>
                <w:rFonts w:hint="eastAsia" w:ascii="仿宋_GB2312" w:hAnsi="宋体" w:eastAsia="仿宋_GB2312"/>
                <w:sz w:val="18"/>
              </w:rPr>
              <w:t>合计</w:t>
            </w:r>
          </w:p>
        </w:tc>
        <w:tc>
          <w:tcPr>
            <w:tcW w:w="1134" w:type="dxa"/>
            <w:tcMar>
              <w:left w:w="0" w:type="dxa"/>
              <w:right w:w="0" w:type="dxa"/>
            </w:tcMar>
            <w:vAlign w:val="center"/>
          </w:tcPr>
          <w:p>
            <w:pPr>
              <w:spacing w:line="0" w:lineRule="atLeast"/>
              <w:jc w:val="center"/>
              <w:rPr>
                <w:rFonts w:ascii="仿宋_GB2312" w:eastAsia="仿宋_GB2312"/>
                <w:sz w:val="18"/>
              </w:rPr>
            </w:pPr>
          </w:p>
        </w:tc>
        <w:tc>
          <w:tcPr>
            <w:tcW w:w="851" w:type="dxa"/>
            <w:tcMar>
              <w:left w:w="0" w:type="dxa"/>
              <w:right w:w="0" w:type="dxa"/>
            </w:tcMar>
            <w:vAlign w:val="center"/>
          </w:tcPr>
          <w:p>
            <w:pPr>
              <w:spacing w:line="0" w:lineRule="atLeast"/>
              <w:jc w:val="center"/>
              <w:rPr>
                <w:rFonts w:ascii="仿宋_GB2312" w:eastAsia="仿宋_GB2312"/>
                <w:sz w:val="18"/>
              </w:rPr>
            </w:pPr>
          </w:p>
        </w:tc>
        <w:tc>
          <w:tcPr>
            <w:tcW w:w="425" w:type="dxa"/>
            <w:tcMar>
              <w:left w:w="0" w:type="dxa"/>
              <w:right w:w="0" w:type="dxa"/>
            </w:tcMar>
            <w:vAlign w:val="center"/>
          </w:tcPr>
          <w:p>
            <w:pPr>
              <w:spacing w:line="0" w:lineRule="atLeast"/>
              <w:jc w:val="center"/>
              <w:rPr>
                <w:rFonts w:ascii="仿宋_GB2312" w:eastAsia="仿宋_GB2312"/>
                <w:sz w:val="18"/>
              </w:rPr>
            </w:pPr>
            <w:r>
              <w:rPr>
                <w:rFonts w:hint="eastAsia" w:ascii="仿宋_GB2312" w:eastAsia="仿宋_GB2312"/>
                <w:sz w:val="18"/>
              </w:rPr>
              <w:t>9</w:t>
            </w:r>
          </w:p>
        </w:tc>
        <w:tc>
          <w:tcPr>
            <w:tcW w:w="992" w:type="dxa"/>
            <w:tcMar>
              <w:left w:w="0" w:type="dxa"/>
              <w:right w:w="0" w:type="dxa"/>
            </w:tcMar>
            <w:vAlign w:val="center"/>
          </w:tcPr>
          <w:p>
            <w:pPr>
              <w:spacing w:line="0" w:lineRule="atLeast"/>
              <w:jc w:val="center"/>
              <w:rPr>
                <w:rFonts w:ascii="仿宋_GB2312" w:eastAsia="仿宋_GB2312"/>
                <w:sz w:val="18"/>
              </w:rPr>
            </w:pPr>
          </w:p>
        </w:tc>
        <w:tc>
          <w:tcPr>
            <w:tcW w:w="2452" w:type="dxa"/>
            <w:tcMar>
              <w:left w:w="0" w:type="dxa"/>
              <w:right w:w="0" w:type="dxa"/>
            </w:tcMar>
            <w:vAlign w:val="center"/>
          </w:tcPr>
          <w:p>
            <w:pPr>
              <w:spacing w:line="0" w:lineRule="atLeast"/>
              <w:jc w:val="center"/>
              <w:rPr>
                <w:rFonts w:ascii="仿宋_GB2312" w:eastAsia="仿宋_GB2312"/>
                <w:sz w:val="18"/>
              </w:rPr>
            </w:pPr>
          </w:p>
        </w:tc>
        <w:tc>
          <w:tcPr>
            <w:tcW w:w="790" w:type="dxa"/>
            <w:tcMar>
              <w:left w:w="0" w:type="dxa"/>
              <w:right w:w="0" w:type="dxa"/>
            </w:tcMar>
            <w:vAlign w:val="center"/>
          </w:tcPr>
          <w:p>
            <w:pPr>
              <w:spacing w:line="0" w:lineRule="atLeast"/>
              <w:jc w:val="center"/>
              <w:rPr>
                <w:rFonts w:ascii="仿宋_GB2312" w:eastAsia="仿宋_GB2312"/>
                <w:sz w:val="18"/>
              </w:rPr>
            </w:pPr>
          </w:p>
        </w:tc>
        <w:tc>
          <w:tcPr>
            <w:tcW w:w="988" w:type="dxa"/>
            <w:tcMar>
              <w:left w:w="0" w:type="dxa"/>
              <w:right w:w="0" w:type="dxa"/>
            </w:tcMar>
            <w:vAlign w:val="center"/>
          </w:tcPr>
          <w:p>
            <w:pPr>
              <w:spacing w:line="0" w:lineRule="atLeast"/>
              <w:jc w:val="center"/>
              <w:rPr>
                <w:rFonts w:ascii="仿宋_GB2312" w:eastAsia="仿宋_GB2312"/>
                <w:sz w:val="18"/>
              </w:rPr>
            </w:pPr>
          </w:p>
        </w:tc>
        <w:tc>
          <w:tcPr>
            <w:tcW w:w="988" w:type="dxa"/>
            <w:tcMar>
              <w:left w:w="0" w:type="dxa"/>
              <w:right w:w="0" w:type="dxa"/>
            </w:tcMar>
          </w:tcPr>
          <w:p>
            <w:pPr>
              <w:spacing w:line="0" w:lineRule="atLeast"/>
              <w:rPr>
                <w:rFonts w:ascii="仿宋_GB2312" w:eastAsia="仿宋_GB2312"/>
                <w:sz w:val="18"/>
              </w:rPr>
            </w:pPr>
          </w:p>
        </w:tc>
      </w:tr>
    </w:tbl>
    <w:p>
      <w:pPr>
        <w:rPr>
          <w:rFonts w:ascii="仿宋_GB2312" w:eastAsia="仿宋_GB2312"/>
        </w:rPr>
      </w:pPr>
    </w:p>
    <w:p>
      <w:pPr>
        <w:ind w:left="359" w:leftChars="171" w:firstLine="2424" w:firstLineChars="1150"/>
        <w:rPr>
          <w:rFonts w:ascii="仿宋_GB2312" w:eastAsia="仿宋_GB2312"/>
          <w:b/>
        </w:rPr>
      </w:pPr>
      <w:r>
        <w:rPr>
          <w:rFonts w:hint="eastAsia" w:ascii="仿宋_GB2312" w:eastAsia="仿宋_GB2312"/>
          <w:b/>
        </w:rPr>
        <w:t>（七）各专业学位课程一览表</w:t>
      </w:r>
    </w:p>
    <w:tbl>
      <w:tblPr>
        <w:tblStyle w:val="15"/>
        <w:tblpPr w:leftFromText="180" w:rightFromText="180" w:vertAnchor="text" w:horzAnchor="margin" w:tblpXSpec="center" w:tblpY="2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3796"/>
        <w:gridCol w:w="2269"/>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689" w:type="dxa"/>
            <w:tcBorders>
              <w:top w:val="single" w:color="auto" w:sz="12" w:space="0"/>
              <w:left w:val="single" w:color="auto" w:sz="12" w:space="0"/>
            </w:tcBorders>
            <w:shd w:val="clear" w:color="auto" w:fill="auto"/>
          </w:tcPr>
          <w:p>
            <w:pPr>
              <w:jc w:val="center"/>
              <w:rPr>
                <w:rFonts w:ascii="仿宋_GB2312" w:eastAsia="仿宋_GB2312"/>
                <w:sz w:val="18"/>
                <w:szCs w:val="18"/>
              </w:rPr>
            </w:pPr>
            <w:r>
              <w:rPr>
                <w:rFonts w:hint="eastAsia" w:ascii="仿宋_GB2312" w:eastAsia="仿宋_GB2312"/>
                <w:sz w:val="18"/>
                <w:szCs w:val="18"/>
              </w:rPr>
              <w:t>专业名称</w:t>
            </w:r>
          </w:p>
        </w:tc>
        <w:tc>
          <w:tcPr>
            <w:tcW w:w="3796" w:type="dxa"/>
            <w:tcBorders>
              <w:top w:val="single" w:color="auto" w:sz="12" w:space="0"/>
            </w:tcBorders>
            <w:shd w:val="clear" w:color="auto" w:fill="auto"/>
          </w:tcPr>
          <w:p>
            <w:pPr>
              <w:jc w:val="center"/>
              <w:rPr>
                <w:rFonts w:ascii="仿宋_GB2312" w:eastAsia="仿宋_GB2312"/>
                <w:sz w:val="18"/>
                <w:szCs w:val="18"/>
              </w:rPr>
            </w:pPr>
            <w:r>
              <w:rPr>
                <w:rFonts w:hint="eastAsia" w:ascii="仿宋_GB2312" w:eastAsia="仿宋_GB2312"/>
                <w:sz w:val="18"/>
                <w:szCs w:val="18"/>
              </w:rPr>
              <w:t>学位课程名</w:t>
            </w:r>
          </w:p>
        </w:tc>
        <w:tc>
          <w:tcPr>
            <w:tcW w:w="2269" w:type="dxa"/>
            <w:tcBorders>
              <w:top w:val="single" w:color="auto" w:sz="12" w:space="0"/>
            </w:tcBorders>
            <w:shd w:val="clear" w:color="auto" w:fill="auto"/>
          </w:tcPr>
          <w:p>
            <w:pPr>
              <w:jc w:val="center"/>
              <w:rPr>
                <w:rFonts w:ascii="仿宋_GB2312" w:eastAsia="仿宋_GB2312"/>
                <w:sz w:val="18"/>
                <w:szCs w:val="18"/>
              </w:rPr>
            </w:pPr>
            <w:r>
              <w:rPr>
                <w:rFonts w:hint="eastAsia" w:ascii="仿宋_GB2312" w:eastAsia="仿宋_GB2312"/>
                <w:sz w:val="18"/>
                <w:szCs w:val="18"/>
              </w:rPr>
              <w:t>开课学期</w:t>
            </w:r>
          </w:p>
        </w:tc>
        <w:tc>
          <w:tcPr>
            <w:tcW w:w="768" w:type="dxa"/>
            <w:tcBorders>
              <w:top w:val="single" w:color="auto" w:sz="12" w:space="0"/>
              <w:right w:val="single" w:color="auto" w:sz="12" w:space="0"/>
            </w:tcBorders>
            <w:shd w:val="clear" w:color="auto" w:fill="auto"/>
          </w:tcPr>
          <w:p>
            <w:pPr>
              <w:jc w:val="center"/>
              <w:rPr>
                <w:rFonts w:ascii="仿宋_GB2312" w:eastAsia="仿宋_GB2312"/>
                <w:sz w:val="18"/>
                <w:szCs w:val="18"/>
              </w:rPr>
            </w:pPr>
            <w:r>
              <w:rPr>
                <w:rFonts w:hint="eastAsia" w:ascii="仿宋_GB2312" w:eastAsia="仿宋_GB2312"/>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689" w:type="dxa"/>
            <w:tcBorders>
              <w:left w:val="single" w:color="auto" w:sz="12" w:space="0"/>
            </w:tcBorders>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电气工程及其自动化</w:t>
            </w:r>
          </w:p>
        </w:tc>
        <w:tc>
          <w:tcPr>
            <w:tcW w:w="3796" w:type="dxa"/>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大学英语</w:t>
            </w:r>
            <w:r>
              <w:rPr>
                <w:rFonts w:hint="eastAsia" w:ascii="仿宋_GB2312" w:eastAsia="仿宋_GB2312"/>
                <w:sz w:val="18"/>
                <w:szCs w:val="18"/>
              </w:rPr>
              <w:t>II</w:t>
            </w:r>
          </w:p>
        </w:tc>
        <w:tc>
          <w:tcPr>
            <w:tcW w:w="2269" w:type="dxa"/>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2</w:t>
            </w:r>
          </w:p>
        </w:tc>
        <w:tc>
          <w:tcPr>
            <w:tcW w:w="768" w:type="dxa"/>
            <w:tcBorders>
              <w:right w:val="single" w:color="auto" w:sz="12" w:space="0"/>
            </w:tcBorders>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689" w:type="dxa"/>
            <w:tcBorders>
              <w:left w:val="single" w:color="auto" w:sz="12" w:space="0"/>
            </w:tcBorders>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电气工程及其自动化</w:t>
            </w:r>
          </w:p>
        </w:tc>
        <w:tc>
          <w:tcPr>
            <w:tcW w:w="3796" w:type="dxa"/>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电路原理</w:t>
            </w:r>
          </w:p>
        </w:tc>
        <w:tc>
          <w:tcPr>
            <w:tcW w:w="2269" w:type="dxa"/>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3</w:t>
            </w:r>
          </w:p>
        </w:tc>
        <w:tc>
          <w:tcPr>
            <w:tcW w:w="768" w:type="dxa"/>
            <w:tcBorders>
              <w:right w:val="single" w:color="auto" w:sz="12" w:space="0"/>
            </w:tcBorders>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1689" w:type="dxa"/>
            <w:tcBorders>
              <w:left w:val="single" w:color="auto" w:sz="12" w:space="0"/>
            </w:tcBorders>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电气工程及其自动化</w:t>
            </w:r>
          </w:p>
        </w:tc>
        <w:tc>
          <w:tcPr>
            <w:tcW w:w="3796" w:type="dxa"/>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模拟电子电路</w:t>
            </w:r>
          </w:p>
        </w:tc>
        <w:tc>
          <w:tcPr>
            <w:tcW w:w="2269" w:type="dxa"/>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4</w:t>
            </w:r>
          </w:p>
        </w:tc>
        <w:tc>
          <w:tcPr>
            <w:tcW w:w="768" w:type="dxa"/>
            <w:tcBorders>
              <w:right w:val="single" w:color="auto" w:sz="12" w:space="0"/>
            </w:tcBorders>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trPr>
        <w:tc>
          <w:tcPr>
            <w:tcW w:w="1689" w:type="dxa"/>
            <w:tcBorders>
              <w:left w:val="single" w:color="auto" w:sz="12" w:space="0"/>
            </w:tcBorders>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电气工程及其自动化</w:t>
            </w:r>
          </w:p>
        </w:tc>
        <w:tc>
          <w:tcPr>
            <w:tcW w:w="3796" w:type="dxa"/>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自动控制原理</w:t>
            </w:r>
          </w:p>
        </w:tc>
        <w:tc>
          <w:tcPr>
            <w:tcW w:w="2269" w:type="dxa"/>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5</w:t>
            </w:r>
          </w:p>
        </w:tc>
        <w:tc>
          <w:tcPr>
            <w:tcW w:w="768" w:type="dxa"/>
            <w:tcBorders>
              <w:right w:val="single" w:color="auto" w:sz="12" w:space="0"/>
            </w:tcBorders>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trPr>
        <w:tc>
          <w:tcPr>
            <w:tcW w:w="1689" w:type="dxa"/>
            <w:tcBorders>
              <w:left w:val="single" w:color="auto" w:sz="12" w:space="0"/>
              <w:bottom w:val="single" w:color="auto" w:sz="12" w:space="0"/>
            </w:tcBorders>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电气工程及其自动化</w:t>
            </w:r>
          </w:p>
        </w:tc>
        <w:tc>
          <w:tcPr>
            <w:tcW w:w="3796" w:type="dxa"/>
            <w:tcBorders>
              <w:bottom w:val="single" w:color="auto" w:sz="12" w:space="0"/>
            </w:tcBorders>
            <w:shd w:val="clear" w:color="auto" w:fill="auto"/>
            <w:tcMar>
              <w:left w:w="0" w:type="dxa"/>
              <w:right w:w="0" w:type="dxa"/>
            </w:tcMar>
          </w:tcPr>
          <w:p>
            <w:pPr>
              <w:jc w:val="center"/>
              <w:rPr>
                <w:rFonts w:ascii="仿宋_GB2312" w:eastAsia="仿宋_GB2312"/>
                <w:sz w:val="18"/>
                <w:szCs w:val="18"/>
              </w:rPr>
            </w:pPr>
            <w:r>
              <w:rPr>
                <w:rFonts w:ascii="仿宋_GB2312" w:eastAsia="仿宋_GB2312"/>
                <w:sz w:val="18"/>
                <w:szCs w:val="18"/>
              </w:rPr>
              <w:t>电力电子技术</w:t>
            </w:r>
          </w:p>
        </w:tc>
        <w:tc>
          <w:tcPr>
            <w:tcW w:w="2269" w:type="dxa"/>
            <w:tcBorders>
              <w:bottom w:val="single" w:color="auto" w:sz="12" w:space="0"/>
            </w:tcBorders>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6</w:t>
            </w:r>
          </w:p>
        </w:tc>
        <w:tc>
          <w:tcPr>
            <w:tcW w:w="768" w:type="dxa"/>
            <w:tcBorders>
              <w:bottom w:val="single" w:color="auto" w:sz="12" w:space="0"/>
              <w:right w:val="single" w:color="auto" w:sz="12" w:space="0"/>
            </w:tcBorders>
            <w:shd w:val="clear" w:color="auto" w:fill="auto"/>
            <w:tcMar>
              <w:left w:w="0" w:type="dxa"/>
              <w:right w:w="0" w:type="dxa"/>
            </w:tcMar>
          </w:tcPr>
          <w:p>
            <w:pPr>
              <w:jc w:val="center"/>
              <w:rPr>
                <w:rFonts w:ascii="仿宋_GB2312" w:eastAsia="仿宋_GB2312"/>
                <w:sz w:val="18"/>
                <w:szCs w:val="18"/>
              </w:rPr>
            </w:pPr>
            <w:r>
              <w:rPr>
                <w:rFonts w:hint="eastAsia" w:ascii="仿宋_GB2312" w:eastAsia="仿宋_GB2312"/>
                <w:sz w:val="18"/>
                <w:szCs w:val="18"/>
              </w:rPr>
              <w:t>4</w:t>
            </w:r>
          </w:p>
        </w:tc>
      </w:tr>
    </w:tbl>
    <w:p>
      <w:pPr>
        <w:spacing w:line="360" w:lineRule="exact"/>
        <w:rPr>
          <w:rFonts w:ascii="仿宋_GB2312" w:eastAsia="仿宋_GB2312"/>
        </w:rPr>
      </w:pPr>
    </w:p>
    <w:p>
      <w:pPr>
        <w:spacing w:line="360" w:lineRule="exact"/>
        <w:ind w:firstLine="316" w:firstLineChars="150"/>
        <w:jc w:val="center"/>
        <w:rPr>
          <w:rFonts w:ascii="宋体" w:hAnsi="宋体"/>
          <w:b/>
          <w:szCs w:val="21"/>
        </w:rPr>
      </w:pPr>
      <w:r>
        <w:rPr>
          <w:rFonts w:hint="eastAsia" w:ascii="宋体" w:hAnsi="宋体"/>
          <w:b/>
          <w:szCs w:val="21"/>
        </w:rPr>
        <w:t>附表1 大学英语类课程教学安排表</w:t>
      </w:r>
    </w:p>
    <w:tbl>
      <w:tblPr>
        <w:tblStyle w:val="15"/>
        <w:tblW w:w="911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9"/>
        <w:gridCol w:w="2169"/>
        <w:gridCol w:w="666"/>
        <w:gridCol w:w="850"/>
        <w:gridCol w:w="516"/>
        <w:gridCol w:w="540"/>
        <w:gridCol w:w="624"/>
        <w:gridCol w:w="565"/>
        <w:gridCol w:w="1157"/>
        <w:gridCol w:w="643"/>
        <w:gridCol w:w="6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689"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编码</w:t>
            </w:r>
          </w:p>
        </w:tc>
        <w:tc>
          <w:tcPr>
            <w:tcW w:w="2169"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名称</w:t>
            </w:r>
          </w:p>
        </w:tc>
        <w:tc>
          <w:tcPr>
            <w:tcW w:w="666"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总学时</w:t>
            </w:r>
          </w:p>
        </w:tc>
        <w:tc>
          <w:tcPr>
            <w:tcW w:w="850"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总学分</w:t>
            </w:r>
          </w:p>
        </w:tc>
        <w:tc>
          <w:tcPr>
            <w:tcW w:w="516"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理论</w:t>
            </w:r>
          </w:p>
        </w:tc>
        <w:tc>
          <w:tcPr>
            <w:tcW w:w="540"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实验</w:t>
            </w:r>
          </w:p>
        </w:tc>
        <w:tc>
          <w:tcPr>
            <w:tcW w:w="1189" w:type="dxa"/>
            <w:gridSpan w:val="2"/>
            <w:tcBorders>
              <w:top w:val="single" w:color="auto" w:sz="12" w:space="0"/>
            </w:tcBorders>
            <w:vAlign w:val="center"/>
          </w:tcPr>
          <w:p>
            <w:pPr>
              <w:jc w:val="center"/>
              <w:rPr>
                <w:rFonts w:ascii="宋体" w:hAnsi="宋体"/>
                <w:sz w:val="18"/>
                <w:szCs w:val="18"/>
              </w:rPr>
            </w:pPr>
            <w:r>
              <w:rPr>
                <w:rFonts w:hint="eastAsia" w:ascii="宋体" w:hAnsi="宋体"/>
                <w:sz w:val="18"/>
                <w:szCs w:val="18"/>
              </w:rPr>
              <w:t>开课学期和周学时</w:t>
            </w:r>
          </w:p>
        </w:tc>
        <w:tc>
          <w:tcPr>
            <w:tcW w:w="1157"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开课学院</w:t>
            </w:r>
          </w:p>
        </w:tc>
        <w:tc>
          <w:tcPr>
            <w:tcW w:w="643"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考核形式</w:t>
            </w:r>
          </w:p>
        </w:tc>
        <w:tc>
          <w:tcPr>
            <w:tcW w:w="697"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jc w:val="center"/>
        </w:trPr>
        <w:tc>
          <w:tcPr>
            <w:tcW w:w="689" w:type="dxa"/>
            <w:vMerge w:val="continue"/>
            <w:vAlign w:val="center"/>
          </w:tcPr>
          <w:p>
            <w:pPr>
              <w:rPr>
                <w:rFonts w:ascii="宋体" w:hAnsi="宋体"/>
                <w:sz w:val="18"/>
                <w:szCs w:val="18"/>
              </w:rPr>
            </w:pPr>
          </w:p>
        </w:tc>
        <w:tc>
          <w:tcPr>
            <w:tcW w:w="2169" w:type="dxa"/>
            <w:vMerge w:val="continue"/>
            <w:vAlign w:val="center"/>
          </w:tcPr>
          <w:p>
            <w:pPr>
              <w:rPr>
                <w:rFonts w:ascii="宋体" w:hAnsi="宋体"/>
                <w:sz w:val="18"/>
                <w:szCs w:val="18"/>
              </w:rPr>
            </w:pPr>
          </w:p>
        </w:tc>
        <w:tc>
          <w:tcPr>
            <w:tcW w:w="666" w:type="dxa"/>
            <w:vMerge w:val="continue"/>
            <w:vAlign w:val="center"/>
          </w:tcPr>
          <w:p>
            <w:pPr>
              <w:jc w:val="center"/>
              <w:rPr>
                <w:rFonts w:ascii="宋体" w:hAnsi="宋体"/>
                <w:sz w:val="18"/>
                <w:szCs w:val="18"/>
              </w:rPr>
            </w:pPr>
          </w:p>
        </w:tc>
        <w:tc>
          <w:tcPr>
            <w:tcW w:w="850" w:type="dxa"/>
            <w:vMerge w:val="continue"/>
            <w:vAlign w:val="center"/>
          </w:tcPr>
          <w:p>
            <w:pPr>
              <w:jc w:val="center"/>
              <w:rPr>
                <w:rFonts w:ascii="宋体" w:hAnsi="宋体"/>
                <w:sz w:val="18"/>
                <w:szCs w:val="18"/>
              </w:rPr>
            </w:pPr>
          </w:p>
        </w:tc>
        <w:tc>
          <w:tcPr>
            <w:tcW w:w="516" w:type="dxa"/>
            <w:vMerge w:val="continue"/>
            <w:vAlign w:val="center"/>
          </w:tcPr>
          <w:p>
            <w:pPr>
              <w:jc w:val="center"/>
              <w:rPr>
                <w:rFonts w:ascii="宋体" w:hAnsi="宋体"/>
                <w:sz w:val="18"/>
                <w:szCs w:val="18"/>
              </w:rPr>
            </w:pPr>
          </w:p>
        </w:tc>
        <w:tc>
          <w:tcPr>
            <w:tcW w:w="540" w:type="dxa"/>
            <w:vMerge w:val="continue"/>
            <w:vAlign w:val="center"/>
          </w:tcPr>
          <w:p>
            <w:pPr>
              <w:jc w:val="cente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三</w:t>
            </w:r>
          </w:p>
        </w:tc>
        <w:tc>
          <w:tcPr>
            <w:tcW w:w="565" w:type="dxa"/>
            <w:vAlign w:val="center"/>
          </w:tcPr>
          <w:p>
            <w:pPr>
              <w:jc w:val="center"/>
              <w:rPr>
                <w:rFonts w:ascii="宋体" w:hAnsi="宋体"/>
                <w:sz w:val="18"/>
                <w:szCs w:val="18"/>
              </w:rPr>
            </w:pPr>
            <w:r>
              <w:rPr>
                <w:rFonts w:hint="eastAsia" w:ascii="宋体" w:hAnsi="宋体"/>
                <w:sz w:val="18"/>
                <w:szCs w:val="18"/>
              </w:rPr>
              <w:t>四</w:t>
            </w:r>
          </w:p>
        </w:tc>
        <w:tc>
          <w:tcPr>
            <w:tcW w:w="1157" w:type="dxa"/>
            <w:vMerge w:val="continue"/>
            <w:vAlign w:val="center"/>
          </w:tcPr>
          <w:p>
            <w:pPr>
              <w:jc w:val="center"/>
              <w:rPr>
                <w:rFonts w:ascii="宋体" w:hAnsi="宋体"/>
                <w:sz w:val="18"/>
                <w:szCs w:val="18"/>
              </w:rPr>
            </w:pPr>
          </w:p>
        </w:tc>
        <w:tc>
          <w:tcPr>
            <w:tcW w:w="643" w:type="dxa"/>
            <w:vMerge w:val="continue"/>
            <w:vAlign w:val="center"/>
          </w:tcPr>
          <w:p>
            <w:pPr>
              <w:rPr>
                <w:rFonts w:ascii="宋体" w:hAnsi="宋体"/>
                <w:sz w:val="18"/>
                <w:szCs w:val="18"/>
              </w:rPr>
            </w:pP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ascii="宋体" w:hAnsi="宋体"/>
                <w:sz w:val="18"/>
                <w:szCs w:val="18"/>
              </w:rPr>
              <w:t>通用英语</w:t>
            </w:r>
            <w:r>
              <w:rPr>
                <w:rFonts w:hint="eastAsia" w:ascii="宋体" w:hAnsi="宋体"/>
                <w:sz w:val="18"/>
                <w:szCs w:val="18"/>
              </w:rPr>
              <w:t xml:space="preserve">（1） </w:t>
            </w:r>
            <w:r>
              <w:rPr>
                <w:rFonts w:ascii="宋体" w:hAnsi="宋体"/>
                <w:sz w:val="18"/>
                <w:szCs w:val="18"/>
              </w:rPr>
              <w:t>General English (1)</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jc w:val="center"/>
              <w:rPr>
                <w:rFonts w:ascii="宋体" w:hAnsi="宋体"/>
                <w:sz w:val="18"/>
                <w:szCs w:val="18"/>
              </w:rPr>
            </w:pPr>
            <w:r>
              <w:rPr>
                <w:rFonts w:hint="eastAsia" w:ascii="宋体" w:hAnsi="宋体"/>
                <w:sz w:val="18"/>
                <w:szCs w:val="18"/>
              </w:rPr>
              <w:t>48</w:t>
            </w:r>
          </w:p>
        </w:tc>
        <w:tc>
          <w:tcPr>
            <w:tcW w:w="540" w:type="dxa"/>
            <w:vAlign w:val="center"/>
          </w:tcPr>
          <w:p>
            <w:pPr>
              <w:jc w:val="cente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jc w:val="cente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restart"/>
            <w:vAlign w:val="center"/>
          </w:tcPr>
          <w:p>
            <w:pPr>
              <w:spacing w:line="360" w:lineRule="exact"/>
              <w:rPr>
                <w:rFonts w:ascii="宋体" w:hAnsi="宋体"/>
                <w:sz w:val="18"/>
                <w:szCs w:val="18"/>
              </w:rPr>
            </w:pPr>
            <w:r>
              <w:rPr>
                <w:rFonts w:hint="eastAsia" w:ascii="宋体" w:hAnsi="宋体"/>
                <w:sz w:val="18"/>
                <w:szCs w:val="18"/>
              </w:rPr>
              <w:t>学生根据要求，按照自己的英语水平和兴趣选修3学分。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高级口语</w:t>
            </w:r>
            <w:r>
              <w:rPr>
                <w:rFonts w:ascii="宋体" w:hAnsi="宋体"/>
                <w:sz w:val="18"/>
                <w:szCs w:val="18"/>
              </w:rPr>
              <w:t>Advanced Oral English</w:t>
            </w:r>
          </w:p>
        </w:tc>
        <w:tc>
          <w:tcPr>
            <w:tcW w:w="666" w:type="dxa"/>
            <w:vAlign w:val="center"/>
          </w:tcPr>
          <w:p>
            <w:pPr>
              <w:ind w:firstLine="180" w:firstLineChars="100"/>
              <w:rPr>
                <w:rFonts w:ascii="宋体" w:hAnsi="宋体"/>
                <w:sz w:val="18"/>
                <w:szCs w:val="18"/>
              </w:rPr>
            </w:pPr>
            <w:r>
              <w:rPr>
                <w:rFonts w:hint="eastAsia" w:ascii="宋体" w:hAnsi="宋体"/>
                <w:sz w:val="18"/>
                <w:szCs w:val="18"/>
              </w:rPr>
              <w:t>48</w:t>
            </w:r>
          </w:p>
        </w:tc>
        <w:tc>
          <w:tcPr>
            <w:tcW w:w="850" w:type="dxa"/>
            <w:vAlign w:val="center"/>
          </w:tcPr>
          <w:p>
            <w:pPr>
              <w:ind w:firstLine="270" w:firstLineChars="150"/>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高级写作（1）</w:t>
            </w:r>
            <w:r>
              <w:rPr>
                <w:rFonts w:ascii="宋体" w:hAnsi="宋体"/>
                <w:sz w:val="18"/>
                <w:szCs w:val="18"/>
              </w:rPr>
              <w:t>Advanced English Writing (1)</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高级口语与写作</w:t>
            </w:r>
            <w:r>
              <w:rPr>
                <w:rFonts w:ascii="宋体" w:hAnsi="宋体"/>
                <w:sz w:val="18"/>
                <w:szCs w:val="18"/>
              </w:rPr>
              <w:t>Advanced English in Speaking &amp; Writing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跨文化交际</w:t>
            </w:r>
            <w:r>
              <w:rPr>
                <w:rFonts w:ascii="宋体" w:hAnsi="宋体"/>
                <w:sz w:val="18"/>
                <w:szCs w:val="18"/>
              </w:rPr>
              <w:t>Intercultural Communication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视听说</w:t>
            </w:r>
            <w:r>
              <w:rPr>
                <w:rFonts w:ascii="宋体" w:hAnsi="宋体"/>
                <w:sz w:val="18"/>
                <w:szCs w:val="18"/>
              </w:rPr>
              <w:t>English Viewing, Listening &amp; Speaking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实用英语写作</w:t>
            </w:r>
            <w:r>
              <w:rPr>
                <w:rFonts w:ascii="宋体" w:hAnsi="宋体"/>
                <w:sz w:val="18"/>
                <w:szCs w:val="18"/>
              </w:rPr>
              <w:t>Practical English Writing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英汉翻译</w:t>
            </w:r>
            <w:r>
              <w:rPr>
                <w:rFonts w:ascii="宋体" w:hAnsi="宋体"/>
                <w:sz w:val="18"/>
                <w:szCs w:val="18"/>
              </w:rPr>
              <w:t>Translation Between English and Chinese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翻译与写作</w:t>
            </w:r>
            <w:r>
              <w:rPr>
                <w:rFonts w:ascii="宋体" w:hAnsi="宋体"/>
                <w:sz w:val="18"/>
                <w:szCs w:val="18"/>
              </w:rPr>
              <w:t>Writing and Translation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中级口译</w:t>
            </w:r>
            <w:r>
              <w:rPr>
                <w:rFonts w:ascii="宋体" w:hAnsi="宋体"/>
                <w:sz w:val="18"/>
                <w:szCs w:val="18"/>
              </w:rPr>
              <w:t>Intermediate Interpretation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口语与写作</w:t>
            </w:r>
            <w:r>
              <w:rPr>
                <w:rFonts w:ascii="宋体" w:hAnsi="宋体"/>
                <w:sz w:val="18"/>
                <w:szCs w:val="18"/>
              </w:rPr>
              <w:t>Oral English and Writing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通用英语（2）</w:t>
            </w:r>
            <w:r>
              <w:rPr>
                <w:rFonts w:ascii="宋体" w:hAnsi="宋体"/>
                <w:sz w:val="18"/>
                <w:szCs w:val="18"/>
              </w:rPr>
              <w:t>General English (2)</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ind w:firstLine="180" w:firstLineChars="100"/>
              <w:rPr>
                <w:rFonts w:ascii="宋体" w:hAnsi="宋体"/>
                <w:sz w:val="18"/>
                <w:szCs w:val="18"/>
              </w:rPr>
            </w:pPr>
          </w:p>
        </w:tc>
        <w:tc>
          <w:tcPr>
            <w:tcW w:w="565" w:type="dxa"/>
            <w:vAlign w:val="center"/>
          </w:tcPr>
          <w:p>
            <w:pPr>
              <w:ind w:firstLine="90" w:firstLineChars="50"/>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restart"/>
            <w:vAlign w:val="center"/>
          </w:tcPr>
          <w:p>
            <w:pPr>
              <w:spacing w:line="360" w:lineRule="exact"/>
              <w:rPr>
                <w:rFonts w:ascii="宋体" w:hAnsi="宋体"/>
                <w:sz w:val="18"/>
                <w:szCs w:val="18"/>
              </w:rPr>
            </w:pPr>
            <w:r>
              <w:rPr>
                <w:rFonts w:hint="eastAsia" w:ascii="宋体" w:hAnsi="宋体"/>
                <w:sz w:val="18"/>
                <w:szCs w:val="18"/>
              </w:rPr>
              <w:t>学生根据要求，按照自己的英语水平和兴趣选修3学分。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高级写作（2）</w:t>
            </w:r>
            <w:r>
              <w:rPr>
                <w:rFonts w:ascii="宋体" w:hAnsi="宋体"/>
                <w:sz w:val="18"/>
                <w:szCs w:val="18"/>
              </w:rPr>
              <w:t>Advanced English Writing (2)</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高级英语演讲</w:t>
            </w:r>
            <w:r>
              <w:rPr>
                <w:rFonts w:ascii="宋体" w:hAnsi="宋体"/>
                <w:sz w:val="18"/>
                <w:szCs w:val="18"/>
              </w:rPr>
              <w:t>Advanced English Speech</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英美概况</w:t>
            </w:r>
            <w:r>
              <w:rPr>
                <w:rFonts w:ascii="宋体" w:hAnsi="宋体"/>
                <w:sz w:val="18"/>
                <w:szCs w:val="18"/>
              </w:rPr>
              <w:t>British and</w:t>
            </w:r>
            <w:r>
              <w:rPr>
                <w:rFonts w:hint="eastAsia" w:ascii="宋体" w:hAnsi="宋体"/>
                <w:sz w:val="18"/>
                <w:szCs w:val="18"/>
              </w:rPr>
              <w:t xml:space="preserve"> </w:t>
            </w:r>
            <w:r>
              <w:rPr>
                <w:rFonts w:ascii="宋体" w:hAnsi="宋体"/>
                <w:sz w:val="18"/>
                <w:szCs w:val="18"/>
              </w:rPr>
              <w:t>American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西方文化</w:t>
            </w:r>
            <w:r>
              <w:rPr>
                <w:rFonts w:ascii="宋体" w:hAnsi="宋体"/>
                <w:sz w:val="18"/>
                <w:szCs w:val="18"/>
              </w:rPr>
              <w:t>Readings in Western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美国文学</w:t>
            </w:r>
            <w:r>
              <w:rPr>
                <w:rFonts w:ascii="宋体" w:hAnsi="宋体"/>
                <w:sz w:val="18"/>
                <w:szCs w:val="18"/>
              </w:rPr>
              <w:t>Selected Reading of American Literature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美国社会与文化</w:t>
            </w:r>
            <w:r>
              <w:rPr>
                <w:rFonts w:ascii="宋体" w:hAnsi="宋体"/>
                <w:sz w:val="18"/>
                <w:szCs w:val="18"/>
              </w:rPr>
              <w:t>American Society and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英国社会与文化</w:t>
            </w:r>
            <w:r>
              <w:rPr>
                <w:rFonts w:ascii="宋体" w:hAnsi="宋体"/>
                <w:sz w:val="18"/>
                <w:szCs w:val="18"/>
              </w:rPr>
              <w:t>Understanding the UK: Society and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跨文化交际</w:t>
            </w:r>
            <w:r>
              <w:rPr>
                <w:rFonts w:ascii="宋体" w:hAnsi="宋体"/>
                <w:sz w:val="18"/>
                <w:szCs w:val="18"/>
              </w:rPr>
              <w:t>Intercultural Communication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689" w:type="dxa"/>
            <w:vAlign w:val="center"/>
          </w:tcPr>
          <w:p>
            <w:pPr>
              <w:rPr>
                <w:rFonts w:ascii="宋体" w:hAnsi="宋体"/>
                <w:sz w:val="18"/>
                <w:szCs w:val="18"/>
              </w:rPr>
            </w:pPr>
          </w:p>
        </w:tc>
        <w:tc>
          <w:tcPr>
            <w:tcW w:w="2169" w:type="dxa"/>
            <w:vAlign w:val="center"/>
          </w:tcPr>
          <w:p>
            <w:pPr>
              <w:rPr>
                <w:rFonts w:ascii="宋体" w:hAnsi="宋体"/>
                <w:sz w:val="18"/>
                <w:szCs w:val="18"/>
              </w:rPr>
            </w:pPr>
            <w:r>
              <w:rPr>
                <w:rFonts w:hint="eastAsia" w:ascii="宋体" w:hAnsi="宋体"/>
                <w:sz w:val="18"/>
                <w:szCs w:val="18"/>
              </w:rPr>
              <w:t xml:space="preserve">中国文化    </w:t>
            </w:r>
            <w:r>
              <w:rPr>
                <w:rFonts w:ascii="宋体" w:hAnsi="宋体"/>
                <w:sz w:val="18"/>
                <w:szCs w:val="18"/>
              </w:rPr>
              <w:t>Chinese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bl>
    <w:p>
      <w:pPr>
        <w:spacing w:line="360" w:lineRule="exact"/>
        <w:ind w:firstLine="316" w:firstLineChars="150"/>
        <w:jc w:val="center"/>
        <w:rPr>
          <w:rFonts w:ascii="仿宋_GB2312" w:eastAsia="仿宋_GB2312"/>
          <w:b/>
          <w:color w:val="000000"/>
          <w:szCs w:val="21"/>
        </w:rPr>
      </w:pPr>
    </w:p>
    <w:p>
      <w:pPr>
        <w:spacing w:line="360" w:lineRule="exact"/>
        <w:ind w:firstLine="316" w:firstLineChars="150"/>
        <w:jc w:val="center"/>
        <w:rPr>
          <w:rFonts w:ascii="宋体" w:hAnsi="宋体"/>
          <w:b/>
          <w:szCs w:val="21"/>
        </w:rPr>
      </w:pPr>
      <w:r>
        <w:rPr>
          <w:rFonts w:hint="eastAsia" w:ascii="宋体" w:hAnsi="宋体"/>
          <w:b/>
          <w:color w:val="000000"/>
          <w:szCs w:val="21"/>
        </w:rPr>
        <w:t>附表2 国学经典类选修课程教学安排表</w:t>
      </w:r>
    </w:p>
    <w:tbl>
      <w:tblPr>
        <w:tblStyle w:val="15"/>
        <w:tblW w:w="919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2528"/>
        <w:gridCol w:w="761"/>
        <w:gridCol w:w="681"/>
        <w:gridCol w:w="769"/>
        <w:gridCol w:w="769"/>
        <w:gridCol w:w="897"/>
        <w:gridCol w:w="619"/>
        <w:gridCol w:w="9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atLeast"/>
          <w:jc w:val="center"/>
        </w:trPr>
        <w:tc>
          <w:tcPr>
            <w:tcW w:w="1219"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课程编码</w:t>
            </w:r>
          </w:p>
        </w:tc>
        <w:tc>
          <w:tcPr>
            <w:tcW w:w="2528"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课程名称</w:t>
            </w:r>
          </w:p>
        </w:tc>
        <w:tc>
          <w:tcPr>
            <w:tcW w:w="761"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学时</w:t>
            </w:r>
          </w:p>
        </w:tc>
        <w:tc>
          <w:tcPr>
            <w:tcW w:w="681"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学分</w:t>
            </w:r>
          </w:p>
        </w:tc>
        <w:tc>
          <w:tcPr>
            <w:tcW w:w="1538" w:type="dxa"/>
            <w:gridSpan w:val="2"/>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学期和周学时</w:t>
            </w:r>
          </w:p>
        </w:tc>
        <w:tc>
          <w:tcPr>
            <w:tcW w:w="897"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开课学院</w:t>
            </w:r>
          </w:p>
        </w:tc>
        <w:tc>
          <w:tcPr>
            <w:tcW w:w="619"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考核方式</w:t>
            </w:r>
          </w:p>
        </w:tc>
        <w:tc>
          <w:tcPr>
            <w:tcW w:w="951"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atLeast"/>
          <w:jc w:val="center"/>
        </w:trPr>
        <w:tc>
          <w:tcPr>
            <w:tcW w:w="1219" w:type="dxa"/>
            <w:vMerge w:val="continue"/>
            <w:vAlign w:val="center"/>
          </w:tcPr>
          <w:p>
            <w:pPr>
              <w:spacing w:line="360" w:lineRule="exact"/>
              <w:jc w:val="center"/>
              <w:rPr>
                <w:rFonts w:ascii="宋体" w:hAnsi="宋体"/>
                <w:sz w:val="18"/>
                <w:szCs w:val="18"/>
              </w:rPr>
            </w:pPr>
          </w:p>
        </w:tc>
        <w:tc>
          <w:tcPr>
            <w:tcW w:w="2528" w:type="dxa"/>
            <w:vMerge w:val="continue"/>
            <w:vAlign w:val="center"/>
          </w:tcPr>
          <w:p>
            <w:pPr>
              <w:spacing w:line="360" w:lineRule="exact"/>
              <w:jc w:val="center"/>
              <w:rPr>
                <w:rFonts w:ascii="宋体" w:hAnsi="宋体"/>
                <w:sz w:val="18"/>
                <w:szCs w:val="18"/>
              </w:rPr>
            </w:pPr>
          </w:p>
        </w:tc>
        <w:tc>
          <w:tcPr>
            <w:tcW w:w="761" w:type="dxa"/>
            <w:vMerge w:val="continue"/>
          </w:tcPr>
          <w:p>
            <w:pPr>
              <w:spacing w:line="360" w:lineRule="exact"/>
              <w:jc w:val="center"/>
              <w:rPr>
                <w:rFonts w:ascii="宋体" w:hAnsi="宋体"/>
                <w:sz w:val="18"/>
                <w:szCs w:val="18"/>
              </w:rPr>
            </w:pPr>
          </w:p>
        </w:tc>
        <w:tc>
          <w:tcPr>
            <w:tcW w:w="681" w:type="dxa"/>
            <w:vMerge w:val="continue"/>
            <w:vAlign w:val="center"/>
          </w:tcPr>
          <w:p>
            <w:pPr>
              <w:spacing w:line="360" w:lineRule="exact"/>
              <w:jc w:val="center"/>
              <w:rPr>
                <w:rFonts w:ascii="宋体" w:hAnsi="宋体"/>
                <w:sz w:val="18"/>
                <w:szCs w:val="18"/>
              </w:rPr>
            </w:pPr>
          </w:p>
        </w:tc>
        <w:tc>
          <w:tcPr>
            <w:tcW w:w="769" w:type="dxa"/>
            <w:vAlign w:val="center"/>
          </w:tcPr>
          <w:p>
            <w:pPr>
              <w:spacing w:line="360" w:lineRule="exact"/>
              <w:jc w:val="center"/>
              <w:rPr>
                <w:rFonts w:ascii="宋体" w:hAnsi="宋体"/>
                <w:sz w:val="18"/>
                <w:szCs w:val="18"/>
              </w:rPr>
            </w:pPr>
            <w:r>
              <w:rPr>
                <w:rFonts w:hint="eastAsia" w:ascii="宋体" w:hAnsi="宋体"/>
                <w:sz w:val="18"/>
                <w:szCs w:val="18"/>
              </w:rPr>
              <w:t>一</w:t>
            </w:r>
          </w:p>
        </w:tc>
        <w:tc>
          <w:tcPr>
            <w:tcW w:w="769" w:type="dxa"/>
            <w:vAlign w:val="center"/>
          </w:tcPr>
          <w:p>
            <w:pPr>
              <w:spacing w:line="360" w:lineRule="exact"/>
              <w:jc w:val="center"/>
              <w:rPr>
                <w:rFonts w:ascii="宋体" w:hAnsi="宋体"/>
                <w:sz w:val="18"/>
                <w:szCs w:val="18"/>
              </w:rPr>
            </w:pPr>
            <w:r>
              <w:rPr>
                <w:rFonts w:hint="eastAsia" w:ascii="宋体" w:hAnsi="宋体"/>
                <w:sz w:val="18"/>
                <w:szCs w:val="18"/>
              </w:rPr>
              <w:t>二</w:t>
            </w:r>
          </w:p>
        </w:tc>
        <w:tc>
          <w:tcPr>
            <w:tcW w:w="897" w:type="dxa"/>
            <w:vMerge w:val="continue"/>
            <w:vAlign w:val="center"/>
          </w:tcPr>
          <w:p>
            <w:pPr>
              <w:spacing w:line="360" w:lineRule="exact"/>
              <w:jc w:val="center"/>
              <w:rPr>
                <w:rFonts w:ascii="宋体" w:hAnsi="宋体"/>
                <w:sz w:val="18"/>
                <w:szCs w:val="18"/>
              </w:rPr>
            </w:pPr>
          </w:p>
        </w:tc>
        <w:tc>
          <w:tcPr>
            <w:tcW w:w="619" w:type="dxa"/>
            <w:vMerge w:val="continue"/>
            <w:vAlign w:val="center"/>
          </w:tcPr>
          <w:p>
            <w:pPr>
              <w:spacing w:line="360" w:lineRule="exact"/>
              <w:jc w:val="center"/>
              <w:rPr>
                <w:rFonts w:ascii="宋体" w:hAnsi="宋体"/>
                <w:sz w:val="18"/>
                <w:szCs w:val="18"/>
              </w:rPr>
            </w:pPr>
          </w:p>
        </w:tc>
        <w:tc>
          <w:tcPr>
            <w:tcW w:w="951" w:type="dxa"/>
            <w:vMerge w:val="continue"/>
            <w:vAlign w:val="center"/>
          </w:tcPr>
          <w:p>
            <w:pPr>
              <w:spacing w:line="360" w:lineRule="exact"/>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hint="eastAsia" w:ascii="宋体" w:hAnsi="宋体"/>
                <w:sz w:val="18"/>
                <w:szCs w:val="18"/>
              </w:rPr>
              <w:t>1100000059</w:t>
            </w:r>
          </w:p>
        </w:tc>
        <w:tc>
          <w:tcPr>
            <w:tcW w:w="2528" w:type="dxa"/>
            <w:vAlign w:val="center"/>
          </w:tcPr>
          <w:p>
            <w:pPr>
              <w:jc w:val="center"/>
              <w:rPr>
                <w:rFonts w:ascii="宋体" w:hAnsi="宋体"/>
                <w:sz w:val="18"/>
                <w:szCs w:val="18"/>
              </w:rPr>
            </w:pPr>
            <w:r>
              <w:rPr>
                <w:rFonts w:hint="eastAsia" w:ascii="宋体" w:hAnsi="宋体"/>
                <w:sz w:val="18"/>
                <w:szCs w:val="18"/>
              </w:rPr>
              <w:t>国学智慧与君子人格修养</w:t>
            </w:r>
            <w:r>
              <w:rPr>
                <w:rFonts w:ascii="宋体" w:hAnsi="宋体"/>
                <w:sz w:val="18"/>
                <w:szCs w:val="18"/>
              </w:rPr>
              <w:t>The Wisdom of Chinese Traditional Culture and the Cultivation of Gentlman Personality</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hint="eastAsia" w:ascii="宋体" w:hAnsi="宋体"/>
                <w:sz w:val="18"/>
                <w:szCs w:val="18"/>
              </w:rPr>
              <w:t>1100000060</w:t>
            </w:r>
          </w:p>
        </w:tc>
        <w:tc>
          <w:tcPr>
            <w:tcW w:w="2528" w:type="dxa"/>
            <w:vAlign w:val="center"/>
          </w:tcPr>
          <w:p>
            <w:pPr>
              <w:jc w:val="center"/>
              <w:rPr>
                <w:rFonts w:ascii="宋体" w:hAnsi="宋体"/>
                <w:sz w:val="18"/>
                <w:szCs w:val="18"/>
              </w:rPr>
            </w:pPr>
            <w:r>
              <w:rPr>
                <w:rFonts w:hint="eastAsia" w:ascii="宋体" w:hAnsi="宋体"/>
                <w:sz w:val="18"/>
                <w:szCs w:val="18"/>
              </w:rPr>
              <w:t>中国古典诗词品鉴</w:t>
            </w:r>
            <w:r>
              <w:rPr>
                <w:rFonts w:ascii="宋体" w:hAnsi="宋体"/>
                <w:sz w:val="18"/>
                <w:szCs w:val="18"/>
              </w:rPr>
              <w:t>Appreciation of Chinese Classical Poetry</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hint="eastAsia" w:ascii="宋体" w:hAnsi="宋体"/>
                <w:sz w:val="18"/>
                <w:szCs w:val="18"/>
              </w:rPr>
              <w:t>1100000061</w:t>
            </w:r>
          </w:p>
        </w:tc>
        <w:tc>
          <w:tcPr>
            <w:tcW w:w="2528" w:type="dxa"/>
            <w:vAlign w:val="center"/>
          </w:tcPr>
          <w:p>
            <w:pPr>
              <w:jc w:val="center"/>
              <w:rPr>
                <w:rFonts w:ascii="宋体" w:hAnsi="宋体"/>
                <w:sz w:val="18"/>
                <w:szCs w:val="18"/>
              </w:rPr>
            </w:pPr>
            <w:r>
              <w:rPr>
                <w:rFonts w:hint="eastAsia" w:ascii="宋体" w:hAnsi="宋体"/>
                <w:sz w:val="18"/>
                <w:szCs w:val="18"/>
              </w:rPr>
              <w:t>中国新文学名篇赏析</w:t>
            </w:r>
            <w:r>
              <w:rPr>
                <w:rFonts w:ascii="宋体" w:hAnsi="宋体"/>
                <w:sz w:val="18"/>
                <w:szCs w:val="18"/>
              </w:rPr>
              <w:t>Masterpiece Appreciation of Chinese New Literature</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ascii="宋体" w:hAnsi="宋体"/>
                <w:sz w:val="18"/>
                <w:szCs w:val="18"/>
              </w:rPr>
              <w:t>0110000006</w:t>
            </w:r>
          </w:p>
        </w:tc>
        <w:tc>
          <w:tcPr>
            <w:tcW w:w="2528" w:type="dxa"/>
            <w:vAlign w:val="center"/>
          </w:tcPr>
          <w:p>
            <w:pPr>
              <w:jc w:val="center"/>
              <w:rPr>
                <w:rFonts w:ascii="宋体" w:hAnsi="宋体"/>
                <w:sz w:val="18"/>
                <w:szCs w:val="18"/>
              </w:rPr>
            </w:pPr>
            <w:r>
              <w:rPr>
                <w:rFonts w:hint="eastAsia" w:ascii="宋体" w:hAnsi="宋体"/>
                <w:sz w:val="18"/>
                <w:szCs w:val="18"/>
              </w:rPr>
              <w:t>大学语文</w:t>
            </w:r>
            <w:r>
              <w:rPr>
                <w:rFonts w:ascii="宋体" w:hAnsi="宋体"/>
                <w:sz w:val="18"/>
                <w:szCs w:val="18"/>
              </w:rPr>
              <w:t>College Chinese</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1100000062</w:t>
            </w:r>
          </w:p>
        </w:tc>
        <w:tc>
          <w:tcPr>
            <w:tcW w:w="25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君子礼仪与大学生形象塑造</w:t>
            </w:r>
            <w:r>
              <w:rPr>
                <w:rFonts w:ascii="宋体" w:hAnsi="宋体"/>
                <w:sz w:val="18"/>
                <w:szCs w:val="18"/>
              </w:rPr>
              <w:t>The Perfect Etiquette and Image-Building of College Students</w:t>
            </w:r>
          </w:p>
        </w:tc>
        <w:tc>
          <w:tcPr>
            <w:tcW w:w="7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32</w:t>
            </w: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8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教师教育学院</w:t>
            </w:r>
          </w:p>
        </w:tc>
        <w:tc>
          <w:tcPr>
            <w:tcW w:w="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考查</w:t>
            </w:r>
          </w:p>
        </w:tc>
        <w:tc>
          <w:tcPr>
            <w:tcW w:w="951"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0" w:hRule="atLeast"/>
          <w:jc w:val="center"/>
        </w:trPr>
        <w:tc>
          <w:tcPr>
            <w:tcW w:w="1219"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1100000063</w:t>
            </w:r>
          </w:p>
        </w:tc>
        <w:tc>
          <w:tcPr>
            <w:tcW w:w="2528"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经典影视鉴赏与人格养成</w:t>
            </w:r>
            <w:r>
              <w:rPr>
                <w:rFonts w:ascii="宋体" w:hAnsi="宋体"/>
                <w:sz w:val="18"/>
                <w:szCs w:val="18"/>
              </w:rPr>
              <w:t>Classical Film Appreciation and Personality Cultivation</w:t>
            </w:r>
          </w:p>
        </w:tc>
        <w:tc>
          <w:tcPr>
            <w:tcW w:w="761"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32</w:t>
            </w:r>
          </w:p>
        </w:tc>
        <w:tc>
          <w:tcPr>
            <w:tcW w:w="681"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bottom w:val="single" w:color="auto" w:sz="12" w:space="0"/>
            </w:tcBorders>
            <w:vAlign w:val="center"/>
          </w:tcPr>
          <w:p>
            <w:pPr>
              <w:jc w:val="center"/>
              <w:rPr>
                <w:rFonts w:ascii="宋体" w:hAnsi="宋体"/>
                <w:sz w:val="18"/>
                <w:szCs w:val="18"/>
              </w:rPr>
            </w:pPr>
          </w:p>
        </w:tc>
        <w:tc>
          <w:tcPr>
            <w:tcW w:w="897"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文学院</w:t>
            </w:r>
          </w:p>
        </w:tc>
        <w:tc>
          <w:tcPr>
            <w:tcW w:w="619"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考查</w:t>
            </w:r>
          </w:p>
        </w:tc>
        <w:tc>
          <w:tcPr>
            <w:tcW w:w="951" w:type="dxa"/>
            <w:tcBorders>
              <w:bottom w:val="single" w:color="auto" w:sz="12" w:space="0"/>
            </w:tcBorders>
            <w:vAlign w:val="center"/>
          </w:tcPr>
          <w:p>
            <w:pPr>
              <w:jc w:val="center"/>
              <w:rPr>
                <w:rFonts w:ascii="宋体" w:hAnsi="宋体"/>
                <w:sz w:val="18"/>
                <w:szCs w:val="18"/>
              </w:rPr>
            </w:pPr>
          </w:p>
        </w:tc>
      </w:tr>
    </w:tbl>
    <w:p>
      <w:pPr>
        <w:spacing w:line="360" w:lineRule="exact"/>
        <w:ind w:firstLine="316" w:firstLineChars="150"/>
        <w:jc w:val="center"/>
        <w:rPr>
          <w:rFonts w:ascii="仿宋_GB2312" w:eastAsia="仿宋_GB2312"/>
          <w:b/>
          <w:color w:val="000000"/>
          <w:szCs w:val="21"/>
        </w:rPr>
      </w:pPr>
    </w:p>
    <w:p>
      <w:pPr>
        <w:spacing w:line="360" w:lineRule="exact"/>
        <w:ind w:firstLine="316" w:firstLineChars="150"/>
        <w:jc w:val="center"/>
        <w:rPr>
          <w:rFonts w:ascii="仿宋_GB2312" w:eastAsia="仿宋_GB2312"/>
          <w:b/>
          <w:szCs w:val="21"/>
        </w:rPr>
      </w:pPr>
      <w:r>
        <w:rPr>
          <w:rFonts w:hint="eastAsia" w:ascii="仿宋_GB2312" w:eastAsia="仿宋_GB2312"/>
          <w:b/>
          <w:szCs w:val="21"/>
        </w:rPr>
        <w:t>附表3  电气工程及其自动化专业课程英汉名称对照表</w:t>
      </w:r>
    </w:p>
    <w:tbl>
      <w:tblPr>
        <w:tblStyle w:val="15"/>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12" w:space="0"/>
              <w:left w:val="single" w:color="auto" w:sz="12" w:space="0"/>
              <w:bottom w:val="single" w:color="auto" w:sz="4" w:space="0"/>
              <w:right w:val="single" w:color="auto" w:sz="4" w:space="0"/>
            </w:tcBorders>
            <w:vAlign w:val="center"/>
          </w:tcPr>
          <w:p>
            <w:pPr>
              <w:spacing w:line="360" w:lineRule="exact"/>
              <w:rPr>
                <w:rFonts w:asciiTheme="minorEastAsia" w:hAnsiTheme="minorEastAsia" w:eastAsiaTheme="minorEastAsia"/>
                <w:sz w:val="18"/>
                <w:szCs w:val="18"/>
              </w:rPr>
            </w:pPr>
            <w:r>
              <w:rPr>
                <w:rFonts w:hint="eastAsia" w:asciiTheme="minorEastAsia" w:hAnsiTheme="minorEastAsia" w:eastAsiaTheme="minorEastAsia"/>
                <w:sz w:val="18"/>
                <w:szCs w:val="18"/>
              </w:rPr>
              <w:t>课程名称</w:t>
            </w:r>
          </w:p>
        </w:tc>
        <w:tc>
          <w:tcPr>
            <w:tcW w:w="5387" w:type="dxa"/>
            <w:tcBorders>
              <w:top w:val="single" w:color="auto" w:sz="12" w:space="0"/>
              <w:left w:val="single" w:color="auto" w:sz="4" w:space="0"/>
              <w:bottom w:val="single" w:color="auto" w:sz="4" w:space="0"/>
              <w:right w:val="single" w:color="auto" w:sz="12" w:space="0"/>
            </w:tcBorders>
            <w:vAlign w:val="center"/>
          </w:tcPr>
          <w:p>
            <w:pPr>
              <w:spacing w:line="360" w:lineRule="exact"/>
              <w:rPr>
                <w:rFonts w:ascii="仿宋_GB2312" w:eastAsia="仿宋_GB2312"/>
                <w:sz w:val="18"/>
                <w:szCs w:val="18"/>
              </w:rPr>
            </w:pPr>
            <w:r>
              <w:rPr>
                <w:rFonts w:hint="eastAsia" w:ascii="仿宋_GB2312" w:eastAsia="仿宋_GB2312"/>
                <w:sz w:val="18"/>
                <w:szCs w:val="18"/>
              </w:rPr>
              <w:t>课程英文名称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马克思主义基本原理</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left"/>
              <w:rPr>
                <w:rFonts w:eastAsia="仿宋_GB2312"/>
                <w:kern w:val="0"/>
                <w:sz w:val="18"/>
                <w:szCs w:val="18"/>
              </w:rPr>
            </w:pPr>
            <w:r>
              <w:rPr>
                <w:rFonts w:eastAsia="仿宋_GB2312"/>
                <w:kern w:val="0"/>
                <w:sz w:val="18"/>
                <w:szCs w:val="18"/>
              </w:rPr>
              <w:t>Fundamental Principlesof Marxism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思想道德修养与法律基础</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left"/>
              <w:rPr>
                <w:rFonts w:eastAsia="仿宋_GB2312"/>
                <w:kern w:val="0"/>
                <w:sz w:val="18"/>
                <w:szCs w:val="18"/>
              </w:rPr>
            </w:pPr>
            <w:r>
              <w:rPr>
                <w:rFonts w:eastAsia="仿宋_GB2312"/>
                <w:kern w:val="0"/>
                <w:sz w:val="18"/>
                <w:szCs w:val="18"/>
              </w:rPr>
              <w:t>Ideological Moral</w:t>
            </w:r>
            <w:r>
              <w:rPr>
                <w:rFonts w:hint="eastAsia" w:eastAsia="仿宋_GB2312"/>
                <w:kern w:val="0"/>
                <w:sz w:val="18"/>
                <w:szCs w:val="18"/>
              </w:rPr>
              <w:t xml:space="preserve"> </w:t>
            </w:r>
            <w:r>
              <w:rPr>
                <w:rFonts w:eastAsia="仿宋_GB2312"/>
                <w:kern w:val="0"/>
                <w:sz w:val="18"/>
                <w:szCs w:val="18"/>
              </w:rPr>
              <w:t>Cultivation and Law Basics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毛泽东思想和中国特色社会主义理论体系概论</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left"/>
              <w:rPr>
                <w:rFonts w:eastAsia="仿宋_GB2312"/>
                <w:kern w:val="0"/>
                <w:sz w:val="18"/>
                <w:szCs w:val="18"/>
              </w:rPr>
            </w:pPr>
            <w:r>
              <w:rPr>
                <w:rFonts w:eastAsia="仿宋_GB2312"/>
                <w:kern w:val="0"/>
                <w:sz w:val="18"/>
                <w:szCs w:val="18"/>
              </w:rPr>
              <w:t>Introduction to Maoism and Chinese-featured  Socialism  Ideology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毛泽东思想和中国特色社会主义理论体系概论（实践）</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left"/>
              <w:rPr>
                <w:rFonts w:eastAsia="仿宋_GB2312"/>
                <w:kern w:val="0"/>
                <w:sz w:val="18"/>
                <w:szCs w:val="18"/>
              </w:rPr>
            </w:pPr>
            <w:r>
              <w:rPr>
                <w:rFonts w:eastAsia="仿宋_GB2312"/>
                <w:kern w:val="0"/>
                <w:sz w:val="18"/>
                <w:szCs w:val="18"/>
              </w:rPr>
              <w:t>Introduction to Maoism</w:t>
            </w:r>
            <w:r>
              <w:rPr>
                <w:rFonts w:hint="eastAsia" w:eastAsia="仿宋_GB2312"/>
                <w:kern w:val="0"/>
                <w:sz w:val="18"/>
                <w:szCs w:val="18"/>
              </w:rPr>
              <w:t xml:space="preserve"> </w:t>
            </w:r>
            <w:r>
              <w:rPr>
                <w:rFonts w:eastAsia="仿宋_GB2312"/>
                <w:kern w:val="0"/>
                <w:sz w:val="18"/>
                <w:szCs w:val="18"/>
              </w:rPr>
              <w:t>and Chinese-featured  Socialism Ideology</w:t>
            </w:r>
            <w:r>
              <w:rPr>
                <w:rFonts w:hint="eastAsia" w:eastAsia="仿宋_GB2312"/>
                <w:kern w:val="0"/>
                <w:sz w:val="18"/>
                <w:szCs w:val="18"/>
              </w:rPr>
              <w:t xml:space="preserve"> </w:t>
            </w:r>
            <w:r>
              <w:rPr>
                <w:rFonts w:eastAsia="仿宋_GB2312"/>
                <w:kern w:val="0"/>
                <w:sz w:val="18"/>
                <w:szCs w:val="18"/>
              </w:rPr>
              <w:t>(Practice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中国近现代史纲要</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kern w:val="0"/>
                <w:sz w:val="18"/>
                <w:szCs w:val="18"/>
              </w:rPr>
            </w:pPr>
            <w:r>
              <w:rPr>
                <w:rFonts w:eastAsia="仿宋_GB2312"/>
                <w:kern w:val="0"/>
                <w:sz w:val="18"/>
                <w:szCs w:val="18"/>
              </w:rPr>
              <w:t>The Outline of Chinese Modern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形势与政策</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Situation  And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大学英语</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College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大学生心理健康教育</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left"/>
              <w:rPr>
                <w:rFonts w:eastAsia="仿宋_GB2312"/>
                <w:kern w:val="0"/>
                <w:sz w:val="18"/>
                <w:szCs w:val="18"/>
              </w:rPr>
            </w:pPr>
            <w:r>
              <w:rPr>
                <w:rFonts w:eastAsia="仿宋_GB2312"/>
                <w:kern w:val="0"/>
                <w:sz w:val="18"/>
                <w:szCs w:val="18"/>
              </w:rPr>
              <w:t>University Student Psychologically Healthy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体育与健康</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Physical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大学生职业发展与就业指导</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Career Development and Career Guidance for College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高等数学A</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Advanced Mathematics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大学计算机基础</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jc w:val="left"/>
              <w:rPr>
                <w:rFonts w:eastAsia="仿宋_GB2312"/>
                <w:kern w:val="0"/>
                <w:sz w:val="18"/>
                <w:szCs w:val="18"/>
              </w:rPr>
            </w:pPr>
            <w:r>
              <w:rPr>
                <w:rFonts w:eastAsia="仿宋_GB2312"/>
                <w:kern w:val="0"/>
                <w:sz w:val="18"/>
                <w:szCs w:val="18"/>
              </w:rPr>
              <w:t>Fundamentals of Computer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C程序设计</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 Programming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创新创业基础</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Introduction to Innovation and Entrepreneurship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国防教育</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National Defence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军事训练</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Military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大学英语类课程</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rPr>
                <w:rFonts w:eastAsia="仿宋_GB2312"/>
                <w:kern w:val="0"/>
                <w:sz w:val="18"/>
                <w:szCs w:val="18"/>
              </w:rPr>
            </w:pPr>
            <w:r>
              <w:rPr>
                <w:rFonts w:eastAsia="仿宋_GB2312"/>
                <w:kern w:val="0"/>
                <w:sz w:val="18"/>
                <w:szCs w:val="18"/>
              </w:rPr>
              <w:t>College English</w:t>
            </w:r>
            <w:r>
              <w:rPr>
                <w:rFonts w:hint="eastAsia" w:eastAsia="仿宋_GB2312"/>
                <w:kern w:val="0"/>
                <w:sz w:val="18"/>
                <w:szCs w:val="18"/>
              </w:rPr>
              <w:t xml:space="preserve"> </w:t>
            </w:r>
            <w:r>
              <w:rPr>
                <w:rFonts w:eastAsia="仿宋_GB2312"/>
                <w:kern w:val="0"/>
                <w:sz w:val="18"/>
                <w:szCs w:val="18"/>
              </w:rPr>
              <w:t>Curriculum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国学经典类课程</w:t>
            </w:r>
          </w:p>
        </w:tc>
        <w:tc>
          <w:tcPr>
            <w:tcW w:w="5387" w:type="dxa"/>
            <w:tcBorders>
              <w:top w:val="single" w:color="auto" w:sz="4" w:space="0"/>
              <w:left w:val="single" w:color="auto" w:sz="4" w:space="0"/>
              <w:bottom w:val="single" w:color="auto" w:sz="4" w:space="0"/>
              <w:right w:val="single" w:color="auto" w:sz="12" w:space="0"/>
            </w:tcBorders>
            <w:vAlign w:val="center"/>
          </w:tcPr>
          <w:p>
            <w:pPr>
              <w:widowControl/>
              <w:snapToGrid w:val="0"/>
              <w:spacing w:line="0" w:lineRule="atLeast"/>
              <w:rPr>
                <w:rFonts w:eastAsia="仿宋_GB2312"/>
                <w:kern w:val="0"/>
                <w:sz w:val="18"/>
                <w:szCs w:val="18"/>
              </w:rPr>
            </w:pPr>
            <w:r>
              <w:rPr>
                <w:rFonts w:eastAsia="仿宋_GB2312"/>
                <w:kern w:val="0"/>
                <w:sz w:val="18"/>
                <w:szCs w:val="18"/>
              </w:rPr>
              <w:t>Studies of Classical</w:t>
            </w:r>
            <w:r>
              <w:rPr>
                <w:rFonts w:hint="eastAsia" w:eastAsia="仿宋_GB2312"/>
                <w:kern w:val="0"/>
                <w:sz w:val="18"/>
                <w:szCs w:val="18"/>
              </w:rPr>
              <w:t xml:space="preserve"> </w:t>
            </w:r>
            <w:r>
              <w:rPr>
                <w:rFonts w:eastAsia="仿宋_GB2312"/>
                <w:kern w:val="0"/>
                <w:sz w:val="18"/>
                <w:szCs w:val="18"/>
              </w:rPr>
              <w:t>Chinese Literature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大学物理D</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College Physics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工程图学</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Engineering Graphics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线性代数B</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Linear algebra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复变函数与积分变换</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Complex Function and Integral Transform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电路原理</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Circuit  Theory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模拟电子电路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Analog Electronic Circuit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数字逻辑电路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iCs/>
                <w:kern w:val="0"/>
                <w:sz w:val="18"/>
                <w:szCs w:val="18"/>
              </w:rPr>
              <w:t xml:space="preserve">Digital </w:t>
            </w:r>
            <w:r>
              <w:rPr>
                <w:rFonts w:eastAsia="仿宋_GB2312"/>
                <w:kern w:val="0"/>
                <w:sz w:val="18"/>
                <w:szCs w:val="18"/>
              </w:rPr>
              <w:t xml:space="preserve"> </w:t>
            </w:r>
            <w:r>
              <w:rPr>
                <w:rFonts w:eastAsia="仿宋_GB2312"/>
                <w:iCs/>
                <w:kern w:val="0"/>
                <w:sz w:val="18"/>
                <w:szCs w:val="18"/>
              </w:rPr>
              <w:t xml:space="preserve">Logic </w:t>
            </w:r>
            <w:r>
              <w:rPr>
                <w:rFonts w:eastAsia="仿宋_GB2312"/>
                <w:kern w:val="0"/>
                <w:sz w:val="18"/>
                <w:szCs w:val="18"/>
              </w:rPr>
              <w:t xml:space="preserve"> </w:t>
            </w:r>
            <w:r>
              <w:rPr>
                <w:rFonts w:eastAsia="仿宋_GB2312"/>
                <w:iCs/>
                <w:kern w:val="0"/>
                <w:sz w:val="18"/>
                <w:szCs w:val="18"/>
              </w:rPr>
              <w:t>Circuit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olor w:val="000000" w:themeColor="text1"/>
                <w:kern w:val="0"/>
                <w:sz w:val="18"/>
                <w:szCs w:val="18"/>
                <w14:textFill>
                  <w14:solidFill>
                    <w14:schemeClr w14:val="tx1"/>
                  </w14:solidFill>
                </w14:textFill>
              </w:rPr>
              <w:t>电磁场理论</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color w:val="000000" w:themeColor="text1"/>
                <w:kern w:val="0"/>
                <w:sz w:val="18"/>
                <w:szCs w:val="18"/>
                <w14:textFill>
                  <w14:solidFill>
                    <w14:schemeClr w14:val="tx1"/>
                  </w14:solidFill>
                </w14:textFill>
              </w:rPr>
              <w:t>Electromagnetics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olor w:val="000000" w:themeColor="text1"/>
                <w:kern w:val="0"/>
                <w:sz w:val="18"/>
                <w:szCs w:val="18"/>
                <w14:textFill>
                  <w14:solidFill>
                    <w14:schemeClr w14:val="tx1"/>
                  </w14:solidFill>
                </w14:textFill>
              </w:rPr>
              <w:t>电机学</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color w:val="000000" w:themeColor="text1"/>
                <w:kern w:val="0"/>
                <w:sz w:val="18"/>
                <w:szCs w:val="18"/>
                <w14:textFill>
                  <w14:solidFill>
                    <w14:schemeClr w14:val="tx1"/>
                  </w14:solidFill>
                </w14:textFill>
              </w:rPr>
              <w:t>Electric Machinery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olor w:val="000000" w:themeColor="text1"/>
                <w:kern w:val="0"/>
                <w:sz w:val="18"/>
                <w:szCs w:val="18"/>
                <w14:textFill>
                  <w14:solidFill>
                    <w14:schemeClr w14:val="tx1"/>
                  </w14:solidFill>
                </w14:textFill>
              </w:rPr>
              <w:t>自动控制原理</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color w:val="000000" w:themeColor="text1"/>
                <w:kern w:val="0"/>
                <w:sz w:val="18"/>
                <w:szCs w:val="18"/>
                <w14:textFill>
                  <w14:solidFill>
                    <w14:schemeClr w14:val="tx1"/>
                  </w14:solidFill>
                </w14:textFill>
              </w:rPr>
              <w:t>Principles of Automatic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olor w:val="000000" w:themeColor="text1"/>
                <w:kern w:val="0"/>
                <w:sz w:val="18"/>
                <w:szCs w:val="18"/>
                <w14:textFill>
                  <w14:solidFill>
                    <w14:schemeClr w14:val="tx1"/>
                  </w14:solidFill>
                </w14:textFill>
              </w:rPr>
              <w:t>嵌入式系统及应用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fldChar w:fldCharType="begin"/>
            </w:r>
            <w:r>
              <w:instrText xml:space="preserve"> HYPERLINK "http://www.baidu.com/link?url=F4cN1zh2YG4U5jkMSdsqhyk08pK6Y7MXMYxDPgT8iBbdgwnMawUBYbNwGXJhF5f4dyD4_K-0IFJKkLG_IGOvl_wcI46vA2xUzD9BcSVEVSxo28PJnR_CY_LPEL_Cqb3qyYcBb6S1Hn6RIT9X1beyKq&amp;wd=&amp;eqid=f557207e0001125e0000000357ead36e" \t "_blank" </w:instrText>
            </w:r>
            <w:r>
              <w:fldChar w:fldCharType="separate"/>
            </w:r>
            <w:r>
              <w:rPr>
                <w:rFonts w:eastAsia="仿宋_GB2312"/>
                <w:color w:val="000000" w:themeColor="text1"/>
                <w:kern w:val="0"/>
                <w:sz w:val="18"/>
                <w:szCs w:val="18"/>
                <w14:textFill>
                  <w14:solidFill>
                    <w14:schemeClr w14:val="tx1"/>
                  </w14:solidFill>
                </w14:textFill>
              </w:rPr>
              <w:t>Embedded System and Applications</w:t>
            </w:r>
            <w:r>
              <w:rPr>
                <w:rFonts w:eastAsia="仿宋_GB2312"/>
                <w:color w:val="000000" w:themeColor="text1"/>
                <w:kern w:val="0"/>
                <w:sz w:val="18"/>
                <w:szCs w:val="18"/>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电力电子技术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Power Electronic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金工实习</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Metalworking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学科认知实践</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Subject Cognition and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电路原理实验</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Experiment of Circuit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电工技术实践</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Electrotechnical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模拟电子电路实验</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Experiment of Analog Electronic Circuit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数字逻辑电路实验</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 xml:space="preserve">Experiment of </w:t>
            </w:r>
            <w:r>
              <w:rPr>
                <w:rFonts w:eastAsia="仿宋_GB2312"/>
                <w:iCs/>
                <w:kern w:val="0"/>
                <w:sz w:val="18"/>
                <w:szCs w:val="18"/>
              </w:rPr>
              <w:t xml:space="preserve">digital </w:t>
            </w:r>
            <w:r>
              <w:rPr>
                <w:rFonts w:eastAsia="仿宋_GB2312"/>
                <w:kern w:val="0"/>
                <w:sz w:val="18"/>
                <w:szCs w:val="18"/>
              </w:rPr>
              <w:t xml:space="preserve"> </w:t>
            </w:r>
            <w:r>
              <w:rPr>
                <w:rFonts w:eastAsia="仿宋_GB2312"/>
                <w:iCs/>
                <w:kern w:val="0"/>
                <w:sz w:val="18"/>
                <w:szCs w:val="18"/>
              </w:rPr>
              <w:t xml:space="preserve">logic </w:t>
            </w:r>
            <w:r>
              <w:rPr>
                <w:rFonts w:eastAsia="仿宋_GB2312"/>
                <w:kern w:val="0"/>
                <w:sz w:val="18"/>
                <w:szCs w:val="18"/>
              </w:rPr>
              <w:t xml:space="preserve"> </w:t>
            </w:r>
            <w:r>
              <w:rPr>
                <w:rFonts w:eastAsia="仿宋_GB2312"/>
                <w:iCs/>
                <w:kern w:val="0"/>
                <w:sz w:val="18"/>
                <w:szCs w:val="18"/>
              </w:rPr>
              <w:t>circuit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电子技术课程设计</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Course Exercise in Electronic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系统设计与实践</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Course Exercise in Electronic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工程项目设计训练</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Course Exercise in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生产实习</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kern w:val="0"/>
                <w:sz w:val="18"/>
                <w:szCs w:val="18"/>
              </w:rPr>
            </w:pPr>
            <w:r>
              <w:rPr>
                <w:rFonts w:eastAsia="仿宋_GB2312"/>
                <w:kern w:val="0"/>
                <w:sz w:val="18"/>
                <w:szCs w:val="18"/>
              </w:rPr>
              <w:t>Production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毕业设计（论文）</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Graduation Project (Thesis)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传感器与检测技术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Sensors  and Measurement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物流技术与装备</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Logistics Technology and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电气控制及PLC技术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Electrical Eontrol and Programmable Controller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计算机控制技术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Computer Control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运动控制系统</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Motion Control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物流自动化系统设计与应用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Design and Application on Logistics Automation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高电压技术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High Voltage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电力系统分析</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Power System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供配电技术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Power Supply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电力系统自动化</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Power System Automation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电力系统继电保护</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Power System Protective Relaying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adjustRightInd w:val="0"/>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发电厂电气装置</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Electric Systems of Power Plants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color w:val="000000" w:themeColor="text1"/>
                <w:kern w:val="0"/>
                <w:sz w:val="18"/>
                <w:szCs w:val="18"/>
                <w14:textFill>
                  <w14:solidFill>
                    <w14:schemeClr w14:val="tx1"/>
                  </w14:solidFill>
                </w14:textFill>
              </w:rPr>
            </w:pPr>
            <w:r>
              <w:rPr>
                <w:rFonts w:hint="eastAsia" w:asciiTheme="minorEastAsia" w:hAnsiTheme="minorEastAsia" w:eastAsiaTheme="minorEastAsia"/>
                <w:color w:val="000000" w:themeColor="text1"/>
                <w:kern w:val="0"/>
                <w:sz w:val="18"/>
                <w:szCs w:val="18"/>
                <w14:textFill>
                  <w14:solidFill>
                    <w14:schemeClr w14:val="tx1"/>
                  </w14:solidFill>
                </w14:textFill>
              </w:rPr>
              <w:t>概率论与数理统计</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color w:val="000000" w:themeColor="text1"/>
                <w:kern w:val="0"/>
                <w:sz w:val="18"/>
                <w:szCs w:val="18"/>
                <w14:textFill>
                  <w14:solidFill>
                    <w14:schemeClr w14:val="tx1"/>
                  </w14:solidFill>
                </w14:textFill>
              </w:rPr>
              <w:t>Probability and Mathematical Statistics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电气工程CAD</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Electrical Engineering CAD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单片机原理与应用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Principles &amp; Applications of Single-chip Microprocessor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信号与系统</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Signals and Systems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机器人技术及应用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Robotic Technology and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数据库技术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Database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软件技术基础</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Basic Software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MATLAB与系统仿真</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fldChar w:fldCharType="begin"/>
            </w:r>
            <w:r>
              <w:instrText xml:space="preserve"> HYPERLINK "http://www.baidu.com/link?url=KlN0JvPQmoOtPqlYsDEGpw3AZBwMKpXeeavhDfwIOFHwE_kSDRK2pNaD65-030rRRkUjpkUuUYO3ummVmuTdcTi_I-G7HIeF2MkyOeCZf4QgMR8-bsDJTXhRsPunqqwg4hVxPD_d8Y5kuZQfXH_akq" \t "_blank" </w:instrText>
            </w:r>
            <w:r>
              <w:fldChar w:fldCharType="separate"/>
            </w:r>
            <w:r>
              <w:rPr>
                <w:rFonts w:eastAsia="仿宋_GB2312"/>
                <w:kern w:val="0"/>
                <w:sz w:val="18"/>
                <w:szCs w:val="18"/>
              </w:rPr>
              <w:t>MATLAB and System Simulation</w:t>
            </w:r>
            <w:r>
              <w:rPr>
                <w:rFonts w:eastAsia="仿宋_GB2312"/>
                <w:kern w:val="0"/>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物流系统建模与仿真</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Logistics System Modeling and 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控制电机及其应用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Controlling-motor and 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现代控制理论</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Theory of Modern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现代电源技术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Modern power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现代DSP技术及应用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Modern DSP Technology and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专业外语</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Professional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人工智能</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Artificial Intelligence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现代物流设施与规划</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Modern Logistics Facilities and Planning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物流信息技术与应用</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fldChar w:fldCharType="begin"/>
            </w:r>
            <w:r>
              <w:instrText xml:space="preserve"> HYPERLINK "javascript:void(0);" </w:instrText>
            </w:r>
            <w:r>
              <w:fldChar w:fldCharType="separate"/>
            </w:r>
            <w:r>
              <w:rPr>
                <w:rFonts w:eastAsia="仿宋_GB2312"/>
                <w:kern w:val="0"/>
                <w:sz w:val="18"/>
                <w:szCs w:val="18"/>
              </w:rPr>
              <w:t>Logistics</w:t>
            </w:r>
            <w:r>
              <w:rPr>
                <w:rFonts w:eastAsia="仿宋_GB2312"/>
                <w:kern w:val="0"/>
                <w:sz w:val="18"/>
                <w:szCs w:val="18"/>
              </w:rPr>
              <w:fldChar w:fldCharType="end"/>
            </w:r>
            <w:r>
              <w:rPr>
                <w:rFonts w:eastAsia="仿宋_GB2312"/>
                <w:kern w:val="0"/>
                <w:sz w:val="18"/>
                <w:szCs w:val="18"/>
              </w:rPr>
              <w:t xml:space="preserve"> </w:t>
            </w:r>
            <w:r>
              <w:fldChar w:fldCharType="begin"/>
            </w:r>
            <w:r>
              <w:instrText xml:space="preserve"> HYPERLINK "javascript:void(0);" </w:instrText>
            </w:r>
            <w:r>
              <w:fldChar w:fldCharType="separate"/>
            </w:r>
            <w:r>
              <w:rPr>
                <w:rFonts w:eastAsia="仿宋_GB2312"/>
                <w:kern w:val="0"/>
                <w:sz w:val="18"/>
                <w:szCs w:val="18"/>
              </w:rPr>
              <w:t>Information</w:t>
            </w:r>
            <w:r>
              <w:rPr>
                <w:rFonts w:eastAsia="仿宋_GB2312"/>
                <w:kern w:val="0"/>
                <w:sz w:val="18"/>
                <w:szCs w:val="18"/>
              </w:rPr>
              <w:fldChar w:fldCharType="end"/>
            </w:r>
            <w:r>
              <w:rPr>
                <w:rFonts w:eastAsia="仿宋_GB2312"/>
                <w:kern w:val="0"/>
                <w:sz w:val="18"/>
                <w:szCs w:val="18"/>
              </w:rPr>
              <w:t xml:space="preserve"> </w:t>
            </w:r>
            <w:r>
              <w:fldChar w:fldCharType="begin"/>
            </w:r>
            <w:r>
              <w:instrText xml:space="preserve"> HYPERLINK "javascript:void(0);" </w:instrText>
            </w:r>
            <w:r>
              <w:fldChar w:fldCharType="separate"/>
            </w:r>
            <w:r>
              <w:rPr>
                <w:rFonts w:eastAsia="仿宋_GB2312"/>
                <w:kern w:val="0"/>
                <w:sz w:val="18"/>
                <w:szCs w:val="18"/>
              </w:rPr>
              <w:t>Technology</w:t>
            </w:r>
            <w:r>
              <w:rPr>
                <w:rFonts w:eastAsia="仿宋_GB2312"/>
                <w:kern w:val="0"/>
                <w:sz w:val="18"/>
                <w:szCs w:val="18"/>
              </w:rPr>
              <w:fldChar w:fldCharType="end"/>
            </w:r>
            <w:r>
              <w:rPr>
                <w:rFonts w:eastAsia="仿宋_GB2312"/>
                <w:kern w:val="0"/>
                <w:sz w:val="18"/>
                <w:szCs w:val="18"/>
              </w:rPr>
              <w:t> </w:t>
            </w:r>
            <w:r>
              <w:fldChar w:fldCharType="begin"/>
            </w:r>
            <w:r>
              <w:instrText xml:space="preserve"> HYPERLINK "javascript:void(0);" </w:instrText>
            </w:r>
            <w:r>
              <w:fldChar w:fldCharType="separate"/>
            </w:r>
            <w:r>
              <w:rPr>
                <w:rFonts w:eastAsia="仿宋_GB2312"/>
                <w:kern w:val="0"/>
                <w:sz w:val="18"/>
                <w:szCs w:val="18"/>
              </w:rPr>
              <w:t>and</w:t>
            </w:r>
            <w:r>
              <w:rPr>
                <w:rFonts w:eastAsia="仿宋_GB2312"/>
                <w:kern w:val="0"/>
                <w:sz w:val="18"/>
                <w:szCs w:val="18"/>
              </w:rPr>
              <w:fldChar w:fldCharType="end"/>
            </w:r>
            <w:r>
              <w:rPr>
                <w:rFonts w:eastAsia="仿宋_GB2312"/>
                <w:kern w:val="0"/>
                <w:sz w:val="18"/>
                <w:szCs w:val="18"/>
              </w:rPr>
              <w:t> </w:t>
            </w:r>
            <w:r>
              <w:fldChar w:fldCharType="begin"/>
            </w:r>
            <w:r>
              <w:instrText xml:space="preserve"> HYPERLINK "javascript:void(0);" </w:instrText>
            </w:r>
            <w:r>
              <w:fldChar w:fldCharType="separate"/>
            </w:r>
            <w:r>
              <w:rPr>
                <w:rFonts w:eastAsia="仿宋_GB2312"/>
                <w:kern w:val="0"/>
                <w:sz w:val="18"/>
                <w:szCs w:val="18"/>
              </w:rPr>
              <w:t>Application</w:t>
            </w:r>
            <w:r>
              <w:rPr>
                <w:rFonts w:eastAsia="仿宋_GB2312"/>
                <w:kern w:val="0"/>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工业控制组态及现场总线技术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Industrial Control HMI and Fieldbus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电气设备监测与故障诊断</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Monitoring and Fault Diagnosis of Electrical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计算机网络与通讯</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Computer Networks and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学科导论</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Introduction to Electrical Engineering and Automation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项目管理</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Project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现代企业管理</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Modern Enterprise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工程经济学</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Engineering Economics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专利与项目申报指导</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Patent and Project Reporting Guidance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文献检索与科技写作</w:t>
            </w:r>
          </w:p>
        </w:tc>
        <w:tc>
          <w:tcPr>
            <w:tcW w:w="5387" w:type="dxa"/>
            <w:tcBorders>
              <w:top w:val="single" w:color="auto" w:sz="4" w:space="0"/>
              <w:left w:val="single" w:color="auto" w:sz="4" w:space="0"/>
              <w:bottom w:val="single" w:color="auto" w:sz="4"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Literature Review and Acdemic Writing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35" w:type="dxa"/>
            <w:tcBorders>
              <w:top w:val="single" w:color="auto" w:sz="4" w:space="0"/>
              <w:left w:val="single" w:color="auto" w:sz="12" w:space="0"/>
              <w:bottom w:val="single" w:color="auto" w:sz="12" w:space="0"/>
              <w:right w:val="single" w:color="auto" w:sz="4" w:space="0"/>
            </w:tcBorders>
            <w:vAlign w:val="center"/>
          </w:tcPr>
          <w:p>
            <w:pPr>
              <w:widowControl/>
              <w:snapToGrid w:val="0"/>
              <w:spacing w:line="0" w:lineRule="atLeast"/>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口才与礼仪</w:t>
            </w:r>
          </w:p>
        </w:tc>
        <w:tc>
          <w:tcPr>
            <w:tcW w:w="5387" w:type="dxa"/>
            <w:tcBorders>
              <w:top w:val="single" w:color="auto" w:sz="4" w:space="0"/>
              <w:left w:val="single" w:color="auto" w:sz="4" w:space="0"/>
              <w:bottom w:val="single" w:color="auto" w:sz="12" w:space="0"/>
              <w:right w:val="single" w:color="auto" w:sz="12" w:space="0"/>
            </w:tcBorders>
            <w:vAlign w:val="center"/>
          </w:tcPr>
          <w:p>
            <w:pPr>
              <w:spacing w:line="360" w:lineRule="exact"/>
              <w:rPr>
                <w:rFonts w:eastAsia="仿宋_GB2312"/>
                <w:sz w:val="18"/>
                <w:szCs w:val="18"/>
              </w:rPr>
            </w:pPr>
            <w:r>
              <w:rPr>
                <w:rFonts w:eastAsia="仿宋_GB2312"/>
                <w:kern w:val="0"/>
                <w:sz w:val="18"/>
                <w:szCs w:val="18"/>
              </w:rPr>
              <w:t>Speechcraft and Ceremonies</w:t>
            </w:r>
          </w:p>
        </w:tc>
      </w:tr>
    </w:tbl>
    <w:p>
      <w:pPr>
        <w:spacing w:line="360" w:lineRule="exact"/>
        <w:rPr>
          <w:rFonts w:ascii="仿宋_GB2312" w:eastAsia="仿宋_GB2312"/>
        </w:rPr>
      </w:pPr>
    </w:p>
    <w:p>
      <w:pPr>
        <w:spacing w:line="360" w:lineRule="exact"/>
        <w:jc w:val="right"/>
        <w:rPr>
          <w:rFonts w:ascii="仿宋_GB2312" w:eastAsia="仿宋_GB2312"/>
        </w:rPr>
      </w:pPr>
      <w:r>
        <w:rPr>
          <w:rFonts w:hint="eastAsia" w:ascii="仿宋_GB2312" w:eastAsia="仿宋_GB2312"/>
        </w:rPr>
        <w:t>2017年10月18日</w:t>
      </w:r>
    </w:p>
    <w:sectPr>
      <w:pgSz w:w="11906" w:h="16838"/>
      <w:pgMar w:top="1440" w:right="1800" w:bottom="184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A29"/>
    <w:rsid w:val="000268E8"/>
    <w:rsid w:val="00034CF8"/>
    <w:rsid w:val="0004527F"/>
    <w:rsid w:val="00046FFC"/>
    <w:rsid w:val="00055EE1"/>
    <w:rsid w:val="000602A5"/>
    <w:rsid w:val="000616C2"/>
    <w:rsid w:val="00066285"/>
    <w:rsid w:val="00074C73"/>
    <w:rsid w:val="000D34B2"/>
    <w:rsid w:val="000E2446"/>
    <w:rsid w:val="000E33D7"/>
    <w:rsid w:val="000E35A9"/>
    <w:rsid w:val="000F07F2"/>
    <w:rsid w:val="00100A10"/>
    <w:rsid w:val="00100DEF"/>
    <w:rsid w:val="00121A10"/>
    <w:rsid w:val="00122150"/>
    <w:rsid w:val="00130DC3"/>
    <w:rsid w:val="00141CBF"/>
    <w:rsid w:val="0014285F"/>
    <w:rsid w:val="00143A2D"/>
    <w:rsid w:val="001440D7"/>
    <w:rsid w:val="001444A1"/>
    <w:rsid w:val="00144D9A"/>
    <w:rsid w:val="00144E88"/>
    <w:rsid w:val="00165392"/>
    <w:rsid w:val="00171DE9"/>
    <w:rsid w:val="001722EC"/>
    <w:rsid w:val="00174E68"/>
    <w:rsid w:val="0018198E"/>
    <w:rsid w:val="00193A63"/>
    <w:rsid w:val="0019658E"/>
    <w:rsid w:val="001A0977"/>
    <w:rsid w:val="001B3BA9"/>
    <w:rsid w:val="001C03A3"/>
    <w:rsid w:val="001E3D43"/>
    <w:rsid w:val="001E4C71"/>
    <w:rsid w:val="00206CEF"/>
    <w:rsid w:val="00212AF2"/>
    <w:rsid w:val="00236B88"/>
    <w:rsid w:val="002509B7"/>
    <w:rsid w:val="00252561"/>
    <w:rsid w:val="00263E23"/>
    <w:rsid w:val="00270258"/>
    <w:rsid w:val="00273F2D"/>
    <w:rsid w:val="00286C31"/>
    <w:rsid w:val="002A611F"/>
    <w:rsid w:val="002C38FE"/>
    <w:rsid w:val="002E46E9"/>
    <w:rsid w:val="002E5BBA"/>
    <w:rsid w:val="002F12E6"/>
    <w:rsid w:val="002F2EB2"/>
    <w:rsid w:val="0031698A"/>
    <w:rsid w:val="00321A3E"/>
    <w:rsid w:val="00331E82"/>
    <w:rsid w:val="00335900"/>
    <w:rsid w:val="00347A34"/>
    <w:rsid w:val="00364822"/>
    <w:rsid w:val="00366742"/>
    <w:rsid w:val="00380FFD"/>
    <w:rsid w:val="003827AE"/>
    <w:rsid w:val="00382B4A"/>
    <w:rsid w:val="00392B3D"/>
    <w:rsid w:val="00393B69"/>
    <w:rsid w:val="003A54CF"/>
    <w:rsid w:val="003D1152"/>
    <w:rsid w:val="003F3A6F"/>
    <w:rsid w:val="00410C2F"/>
    <w:rsid w:val="004226DD"/>
    <w:rsid w:val="00434DD7"/>
    <w:rsid w:val="0046503A"/>
    <w:rsid w:val="0047258C"/>
    <w:rsid w:val="00480148"/>
    <w:rsid w:val="00485783"/>
    <w:rsid w:val="00485F8F"/>
    <w:rsid w:val="004871B1"/>
    <w:rsid w:val="004B0591"/>
    <w:rsid w:val="004C6F8B"/>
    <w:rsid w:val="004C7227"/>
    <w:rsid w:val="004D6D2B"/>
    <w:rsid w:val="004E6D21"/>
    <w:rsid w:val="0050167A"/>
    <w:rsid w:val="005053D2"/>
    <w:rsid w:val="005175C7"/>
    <w:rsid w:val="00520FA2"/>
    <w:rsid w:val="0052436A"/>
    <w:rsid w:val="00527EE8"/>
    <w:rsid w:val="0053783D"/>
    <w:rsid w:val="005503A3"/>
    <w:rsid w:val="00551DA1"/>
    <w:rsid w:val="005676CE"/>
    <w:rsid w:val="00567F19"/>
    <w:rsid w:val="00584223"/>
    <w:rsid w:val="00594647"/>
    <w:rsid w:val="00595605"/>
    <w:rsid w:val="005A1E55"/>
    <w:rsid w:val="005A27DB"/>
    <w:rsid w:val="005B292C"/>
    <w:rsid w:val="005B5EFD"/>
    <w:rsid w:val="005D48BF"/>
    <w:rsid w:val="005E168A"/>
    <w:rsid w:val="005E46B7"/>
    <w:rsid w:val="005F03B4"/>
    <w:rsid w:val="005F073E"/>
    <w:rsid w:val="00614498"/>
    <w:rsid w:val="00625B67"/>
    <w:rsid w:val="006302E7"/>
    <w:rsid w:val="00653441"/>
    <w:rsid w:val="00661CC8"/>
    <w:rsid w:val="0067601C"/>
    <w:rsid w:val="0068164B"/>
    <w:rsid w:val="006A08CB"/>
    <w:rsid w:val="006A6AEA"/>
    <w:rsid w:val="006C7BB2"/>
    <w:rsid w:val="006D05E3"/>
    <w:rsid w:val="006E7941"/>
    <w:rsid w:val="007030B8"/>
    <w:rsid w:val="00703D0A"/>
    <w:rsid w:val="0073136A"/>
    <w:rsid w:val="00734730"/>
    <w:rsid w:val="0074270F"/>
    <w:rsid w:val="00744CC9"/>
    <w:rsid w:val="00746CD4"/>
    <w:rsid w:val="007478B8"/>
    <w:rsid w:val="007529A9"/>
    <w:rsid w:val="00754241"/>
    <w:rsid w:val="0077698F"/>
    <w:rsid w:val="00777FF2"/>
    <w:rsid w:val="007A6741"/>
    <w:rsid w:val="007B07C1"/>
    <w:rsid w:val="007C001B"/>
    <w:rsid w:val="007C629C"/>
    <w:rsid w:val="007C64C4"/>
    <w:rsid w:val="007D50FD"/>
    <w:rsid w:val="007D649F"/>
    <w:rsid w:val="007E14A9"/>
    <w:rsid w:val="007F09E9"/>
    <w:rsid w:val="007F6EE3"/>
    <w:rsid w:val="00806CD1"/>
    <w:rsid w:val="0083033B"/>
    <w:rsid w:val="00830703"/>
    <w:rsid w:val="00840E6B"/>
    <w:rsid w:val="0086594C"/>
    <w:rsid w:val="008808BA"/>
    <w:rsid w:val="008868A9"/>
    <w:rsid w:val="00886FC0"/>
    <w:rsid w:val="00890FED"/>
    <w:rsid w:val="008A631A"/>
    <w:rsid w:val="008A67B0"/>
    <w:rsid w:val="008A7A7D"/>
    <w:rsid w:val="008D5C93"/>
    <w:rsid w:val="008E0BD3"/>
    <w:rsid w:val="008E2FB2"/>
    <w:rsid w:val="008F0379"/>
    <w:rsid w:val="008F16B9"/>
    <w:rsid w:val="008F788A"/>
    <w:rsid w:val="008F7E1A"/>
    <w:rsid w:val="00900049"/>
    <w:rsid w:val="00903913"/>
    <w:rsid w:val="00905507"/>
    <w:rsid w:val="00912204"/>
    <w:rsid w:val="00912712"/>
    <w:rsid w:val="0091565A"/>
    <w:rsid w:val="00917C9F"/>
    <w:rsid w:val="009217E5"/>
    <w:rsid w:val="0092239B"/>
    <w:rsid w:val="0092333C"/>
    <w:rsid w:val="0092760E"/>
    <w:rsid w:val="009278DD"/>
    <w:rsid w:val="00933C66"/>
    <w:rsid w:val="00943536"/>
    <w:rsid w:val="00965A90"/>
    <w:rsid w:val="00977717"/>
    <w:rsid w:val="009801C8"/>
    <w:rsid w:val="00980D46"/>
    <w:rsid w:val="009842B0"/>
    <w:rsid w:val="00993451"/>
    <w:rsid w:val="009A3350"/>
    <w:rsid w:val="009B3368"/>
    <w:rsid w:val="009B3665"/>
    <w:rsid w:val="009B5086"/>
    <w:rsid w:val="009B7DFB"/>
    <w:rsid w:val="009C1606"/>
    <w:rsid w:val="009C5D48"/>
    <w:rsid w:val="009D0EFB"/>
    <w:rsid w:val="009F3A07"/>
    <w:rsid w:val="009F46FD"/>
    <w:rsid w:val="009F5A27"/>
    <w:rsid w:val="00A007E1"/>
    <w:rsid w:val="00A04694"/>
    <w:rsid w:val="00A45BB3"/>
    <w:rsid w:val="00A663D6"/>
    <w:rsid w:val="00A71398"/>
    <w:rsid w:val="00A7171B"/>
    <w:rsid w:val="00A72254"/>
    <w:rsid w:val="00A72469"/>
    <w:rsid w:val="00A724F1"/>
    <w:rsid w:val="00A86022"/>
    <w:rsid w:val="00A933F7"/>
    <w:rsid w:val="00AA0200"/>
    <w:rsid w:val="00AA079E"/>
    <w:rsid w:val="00AB6BC1"/>
    <w:rsid w:val="00AC1DC0"/>
    <w:rsid w:val="00AD5368"/>
    <w:rsid w:val="00AE2309"/>
    <w:rsid w:val="00AF4D4B"/>
    <w:rsid w:val="00B072C1"/>
    <w:rsid w:val="00B126BA"/>
    <w:rsid w:val="00B1609C"/>
    <w:rsid w:val="00B202E9"/>
    <w:rsid w:val="00B21784"/>
    <w:rsid w:val="00B243BB"/>
    <w:rsid w:val="00B249E2"/>
    <w:rsid w:val="00B24ED0"/>
    <w:rsid w:val="00B25078"/>
    <w:rsid w:val="00B33F5D"/>
    <w:rsid w:val="00B346FC"/>
    <w:rsid w:val="00B3633C"/>
    <w:rsid w:val="00B46DD5"/>
    <w:rsid w:val="00B472D5"/>
    <w:rsid w:val="00B53280"/>
    <w:rsid w:val="00B54291"/>
    <w:rsid w:val="00B62889"/>
    <w:rsid w:val="00B648B1"/>
    <w:rsid w:val="00B7078D"/>
    <w:rsid w:val="00B71673"/>
    <w:rsid w:val="00B73C9B"/>
    <w:rsid w:val="00B77DCC"/>
    <w:rsid w:val="00BA67A8"/>
    <w:rsid w:val="00BA6BBE"/>
    <w:rsid w:val="00BB3694"/>
    <w:rsid w:val="00BB675B"/>
    <w:rsid w:val="00BC36DE"/>
    <w:rsid w:val="00BC765E"/>
    <w:rsid w:val="00BD2A6E"/>
    <w:rsid w:val="00BE3A29"/>
    <w:rsid w:val="00BE51FC"/>
    <w:rsid w:val="00BE5716"/>
    <w:rsid w:val="00BE5834"/>
    <w:rsid w:val="00BE6051"/>
    <w:rsid w:val="00C14017"/>
    <w:rsid w:val="00C20297"/>
    <w:rsid w:val="00C27450"/>
    <w:rsid w:val="00C44FB2"/>
    <w:rsid w:val="00C7283D"/>
    <w:rsid w:val="00C84F36"/>
    <w:rsid w:val="00C90CA7"/>
    <w:rsid w:val="00C90E4B"/>
    <w:rsid w:val="00CA1AD7"/>
    <w:rsid w:val="00CB7E95"/>
    <w:rsid w:val="00CC1F02"/>
    <w:rsid w:val="00CC400C"/>
    <w:rsid w:val="00CC591C"/>
    <w:rsid w:val="00CD03F8"/>
    <w:rsid w:val="00CD259C"/>
    <w:rsid w:val="00CE3406"/>
    <w:rsid w:val="00CF1D7B"/>
    <w:rsid w:val="00D04F38"/>
    <w:rsid w:val="00D17435"/>
    <w:rsid w:val="00D21939"/>
    <w:rsid w:val="00D3260B"/>
    <w:rsid w:val="00D404C7"/>
    <w:rsid w:val="00D51743"/>
    <w:rsid w:val="00D54AE9"/>
    <w:rsid w:val="00D55CE0"/>
    <w:rsid w:val="00D6553E"/>
    <w:rsid w:val="00D71E63"/>
    <w:rsid w:val="00D8049F"/>
    <w:rsid w:val="00D83B61"/>
    <w:rsid w:val="00DB0012"/>
    <w:rsid w:val="00DB2695"/>
    <w:rsid w:val="00DB58DA"/>
    <w:rsid w:val="00DC0CB7"/>
    <w:rsid w:val="00DC65D4"/>
    <w:rsid w:val="00DD3B5E"/>
    <w:rsid w:val="00DE18AF"/>
    <w:rsid w:val="00DF030C"/>
    <w:rsid w:val="00DF39E0"/>
    <w:rsid w:val="00E26555"/>
    <w:rsid w:val="00E3086C"/>
    <w:rsid w:val="00E3701D"/>
    <w:rsid w:val="00E4464F"/>
    <w:rsid w:val="00E44CF3"/>
    <w:rsid w:val="00E47C65"/>
    <w:rsid w:val="00E5629A"/>
    <w:rsid w:val="00E84F27"/>
    <w:rsid w:val="00E92788"/>
    <w:rsid w:val="00E940A5"/>
    <w:rsid w:val="00E94F28"/>
    <w:rsid w:val="00E9706D"/>
    <w:rsid w:val="00EA6909"/>
    <w:rsid w:val="00EB6598"/>
    <w:rsid w:val="00EF190B"/>
    <w:rsid w:val="00F04770"/>
    <w:rsid w:val="00F11528"/>
    <w:rsid w:val="00F239D9"/>
    <w:rsid w:val="00F32DD5"/>
    <w:rsid w:val="00F42AA9"/>
    <w:rsid w:val="00F90864"/>
    <w:rsid w:val="00FA293B"/>
    <w:rsid w:val="00FA53A8"/>
    <w:rsid w:val="00FB2398"/>
    <w:rsid w:val="00FC2FC3"/>
    <w:rsid w:val="00FD3665"/>
    <w:rsid w:val="00FE5A95"/>
    <w:rsid w:val="00FF5945"/>
    <w:rsid w:val="066D04BA"/>
    <w:rsid w:val="0D566B5D"/>
    <w:rsid w:val="0DB316A7"/>
    <w:rsid w:val="11754F17"/>
    <w:rsid w:val="1C3E606D"/>
    <w:rsid w:val="3C7022B0"/>
    <w:rsid w:val="49CF6C65"/>
    <w:rsid w:val="4BAF03E7"/>
    <w:rsid w:val="52FD007A"/>
    <w:rsid w:val="53D06E49"/>
    <w:rsid w:val="54F00FC0"/>
    <w:rsid w:val="56113D6D"/>
    <w:rsid w:val="569804DA"/>
    <w:rsid w:val="5D931187"/>
    <w:rsid w:val="60933F65"/>
    <w:rsid w:val="7009322D"/>
    <w:rsid w:val="77175F6D"/>
    <w:rsid w:val="7ECF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66"/>
    <w:unhideWhenUsed/>
    <w:qFormat/>
    <w:uiPriority w:val="9"/>
    <w:pPr>
      <w:keepNext/>
      <w:keepLines/>
      <w:spacing w:before="120" w:after="120" w:line="360" w:lineRule="auto"/>
      <w:outlineLvl w:val="2"/>
    </w:pPr>
    <w:rPr>
      <w:b/>
      <w:bCs/>
      <w:sz w:val="24"/>
      <w:szCs w:val="32"/>
    </w:rPr>
  </w:style>
  <w:style w:type="character" w:default="1" w:styleId="10">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54"/>
    <w:semiHidden/>
    <w:qFormat/>
    <w:uiPriority w:val="0"/>
    <w:rPr>
      <w:b/>
      <w:bCs/>
    </w:rPr>
  </w:style>
  <w:style w:type="paragraph" w:styleId="4">
    <w:name w:val="annotation text"/>
    <w:basedOn w:val="1"/>
    <w:link w:val="53"/>
    <w:semiHidden/>
    <w:qFormat/>
    <w:uiPriority w:val="0"/>
    <w:pPr>
      <w:jc w:val="left"/>
    </w:pPr>
  </w:style>
  <w:style w:type="paragraph" w:styleId="5">
    <w:name w:val="Body Text Indent 2"/>
    <w:basedOn w:val="1"/>
    <w:link w:val="60"/>
    <w:qFormat/>
    <w:uiPriority w:val="0"/>
    <w:pPr>
      <w:spacing w:line="312" w:lineRule="auto"/>
      <w:ind w:firstLine="420" w:firstLineChars="200"/>
    </w:pPr>
  </w:style>
  <w:style w:type="paragraph" w:styleId="6">
    <w:name w:val="Balloon Text"/>
    <w:basedOn w:val="1"/>
    <w:link w:val="24"/>
    <w:semiHidden/>
    <w:qFormat/>
    <w:uiPriority w:val="0"/>
    <w:rPr>
      <w:sz w:val="18"/>
      <w:szCs w:val="18"/>
    </w:rPr>
  </w:style>
  <w:style w:type="paragraph" w:styleId="7">
    <w:name w:val="footer"/>
    <w:basedOn w:val="1"/>
    <w:link w:val="18"/>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widowControl/>
      <w:spacing w:before="100" w:beforeAutospacing="1" w:after="100" w:afterAutospacing="1"/>
      <w:jc w:val="left"/>
    </w:pPr>
    <w:rPr>
      <w:rFonts w:ascii="Arial Unicode MS" w:hAnsi="Arial Unicode MS" w:eastAsia="Arial Unicode MS" w:cs="Arial Unicode MS"/>
      <w:kern w:val="0"/>
      <w:sz w:val="24"/>
    </w:rPr>
  </w:style>
  <w:style w:type="character" w:styleId="11">
    <w:name w:val="Strong"/>
    <w:basedOn w:val="10"/>
    <w:qFormat/>
    <w:uiPriority w:val="22"/>
    <w:rPr>
      <w:b/>
      <w:bCs/>
    </w:rPr>
  </w:style>
  <w:style w:type="character" w:styleId="12">
    <w:name w:val="page number"/>
    <w:basedOn w:val="10"/>
    <w:qFormat/>
    <w:uiPriority w:val="0"/>
  </w:style>
  <w:style w:type="character" w:styleId="13">
    <w:name w:val="Emphasis"/>
    <w:qFormat/>
    <w:uiPriority w:val="0"/>
    <w:rPr>
      <w:i/>
      <w:iCs/>
    </w:rPr>
  </w:style>
  <w:style w:type="character" w:styleId="14">
    <w:name w:val="annotation reference"/>
    <w:semiHidden/>
    <w:qFormat/>
    <w:uiPriority w:val="0"/>
    <w:rPr>
      <w:sz w:val="21"/>
      <w:szCs w:val="21"/>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页眉 Char"/>
    <w:basedOn w:val="10"/>
    <w:link w:val="8"/>
    <w:semiHidden/>
    <w:qFormat/>
    <w:uiPriority w:val="99"/>
    <w:rPr>
      <w:kern w:val="2"/>
      <w:sz w:val="18"/>
      <w:szCs w:val="18"/>
    </w:rPr>
  </w:style>
  <w:style w:type="character" w:customStyle="1" w:styleId="18">
    <w:name w:val="页脚 Char"/>
    <w:basedOn w:val="10"/>
    <w:link w:val="7"/>
    <w:semiHidden/>
    <w:qFormat/>
    <w:uiPriority w:val="99"/>
    <w:rPr>
      <w:kern w:val="2"/>
      <w:sz w:val="18"/>
      <w:szCs w:val="18"/>
    </w:rPr>
  </w:style>
  <w:style w:type="paragraph" w:customStyle="1" w:styleId="19">
    <w:name w:val="Char Char"/>
    <w:basedOn w:val="1"/>
    <w:semiHidden/>
    <w:qFormat/>
    <w:uiPriority w:val="0"/>
  </w:style>
  <w:style w:type="paragraph" w:customStyle="1" w:styleId="20">
    <w:name w:val="xl24"/>
    <w:basedOn w:val="1"/>
    <w:qFormat/>
    <w:uiPriority w:val="0"/>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21">
    <w:name w:val="style2"/>
    <w:basedOn w:val="1"/>
    <w:qFormat/>
    <w:uiPriority w:val="0"/>
    <w:pPr>
      <w:widowControl/>
      <w:spacing w:before="100" w:beforeAutospacing="1" w:after="100" w:afterAutospacing="1"/>
      <w:jc w:val="left"/>
    </w:pPr>
    <w:rPr>
      <w:rFonts w:ascii="宋体" w:hAnsi="宋体"/>
      <w:kern w:val="0"/>
      <w:sz w:val="24"/>
    </w:rPr>
  </w:style>
  <w:style w:type="character" w:customStyle="1" w:styleId="22">
    <w:name w:val="pl22"/>
    <w:qFormat/>
    <w:uiPriority w:val="0"/>
    <w:rPr>
      <w:rFonts w:hint="default" w:ascii="Arial" w:hAnsi="Arial" w:cs="Arial"/>
      <w:color w:val="666666"/>
      <w:sz w:val="22"/>
      <w:szCs w:val="22"/>
    </w:rPr>
  </w:style>
  <w:style w:type="paragraph" w:customStyle="1" w:styleId="23">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15"/>
      <w:szCs w:val="15"/>
    </w:rPr>
  </w:style>
  <w:style w:type="character" w:customStyle="1" w:styleId="24">
    <w:name w:val="批注框文本 Char"/>
    <w:basedOn w:val="10"/>
    <w:link w:val="6"/>
    <w:semiHidden/>
    <w:qFormat/>
    <w:uiPriority w:val="0"/>
    <w:rPr>
      <w:kern w:val="2"/>
      <w:sz w:val="18"/>
      <w:szCs w:val="18"/>
    </w:rPr>
  </w:style>
  <w:style w:type="paragraph" w:customStyle="1" w:styleId="25">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6">
    <w:name w:val="font5"/>
    <w:basedOn w:val="1"/>
    <w:qFormat/>
    <w:uiPriority w:val="0"/>
    <w:pPr>
      <w:widowControl/>
      <w:spacing w:before="100" w:beforeAutospacing="1" w:after="100" w:afterAutospacing="1"/>
      <w:jc w:val="left"/>
    </w:pPr>
    <w:rPr>
      <w:kern w:val="0"/>
      <w:sz w:val="20"/>
      <w:szCs w:val="20"/>
    </w:rPr>
  </w:style>
  <w:style w:type="paragraph" w:customStyle="1" w:styleId="27">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8">
    <w:name w:val="font7"/>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9">
    <w:name w:val="font8"/>
    <w:basedOn w:val="1"/>
    <w:qFormat/>
    <w:uiPriority w:val="0"/>
    <w:pPr>
      <w:widowControl/>
      <w:spacing w:before="100" w:beforeAutospacing="1" w:after="100" w:afterAutospacing="1"/>
      <w:jc w:val="left"/>
    </w:pPr>
    <w:rPr>
      <w:rFonts w:hint="eastAsia" w:ascii="宋体" w:hAnsi="宋体"/>
      <w:b/>
      <w:bCs/>
      <w:color w:val="FF0000"/>
      <w:kern w:val="0"/>
      <w:sz w:val="20"/>
      <w:szCs w:val="20"/>
    </w:rPr>
  </w:style>
  <w:style w:type="paragraph" w:customStyle="1" w:styleId="3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3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kern w:val="0"/>
      <w:sz w:val="20"/>
      <w:szCs w:val="20"/>
    </w:rPr>
  </w:style>
  <w:style w:type="paragraph" w:customStyle="1" w:styleId="3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b/>
      <w:bCs/>
      <w:kern w:val="0"/>
      <w:sz w:val="20"/>
      <w:szCs w:val="20"/>
    </w:rPr>
  </w:style>
  <w:style w:type="paragraph" w:customStyle="1" w:styleId="3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18"/>
      <w:szCs w:val="18"/>
    </w:rPr>
  </w:style>
  <w:style w:type="paragraph" w:customStyle="1" w:styleId="3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18"/>
      <w:szCs w:val="18"/>
    </w:rPr>
  </w:style>
  <w:style w:type="paragraph" w:customStyle="1" w:styleId="3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36">
    <w:name w:val="xl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20"/>
      <w:szCs w:val="20"/>
    </w:rPr>
  </w:style>
  <w:style w:type="paragraph" w:customStyle="1" w:styleId="37">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38">
    <w:name w:val="xl35"/>
    <w:basedOn w:val="1"/>
    <w:qFormat/>
    <w:uiPriority w:val="0"/>
    <w:pPr>
      <w:widowControl/>
      <w:pBdr>
        <w:left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39">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4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18"/>
      <w:szCs w:val="18"/>
    </w:rPr>
  </w:style>
  <w:style w:type="paragraph" w:customStyle="1" w:styleId="4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18"/>
      <w:szCs w:val="18"/>
    </w:rPr>
  </w:style>
  <w:style w:type="paragraph" w:customStyle="1" w:styleId="4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44">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4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18"/>
      <w:szCs w:val="18"/>
    </w:rPr>
  </w:style>
  <w:style w:type="paragraph" w:customStyle="1" w:styleId="46">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7">
    <w:name w:val="xl44"/>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8">
    <w:name w:val="xl45"/>
    <w:basedOn w:val="1"/>
    <w:qFormat/>
    <w:uiPriority w:val="0"/>
    <w:pPr>
      <w:widowControl/>
      <w:pBdr>
        <w:right w:val="single" w:color="auto" w:sz="4" w:space="0"/>
      </w:pBdr>
      <w:spacing w:before="100" w:beforeAutospacing="1" w:after="100" w:afterAutospacing="1"/>
      <w:jc w:val="center"/>
      <w:textAlignment w:val="center"/>
    </w:pPr>
    <w:rPr>
      <w:kern w:val="0"/>
      <w:sz w:val="20"/>
      <w:szCs w:val="20"/>
    </w:rPr>
  </w:style>
  <w:style w:type="paragraph" w:customStyle="1" w:styleId="49">
    <w:name w:val="xl46"/>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50">
    <w:name w:val="xl47"/>
    <w:basedOn w:val="1"/>
    <w:qFormat/>
    <w:uiPriority w:val="0"/>
    <w:pPr>
      <w:widowControl/>
      <w:spacing w:before="100" w:beforeAutospacing="1" w:after="100" w:afterAutospacing="1"/>
      <w:jc w:val="center"/>
    </w:pPr>
    <w:rPr>
      <w:rFonts w:hint="eastAsia" w:ascii="黑体" w:hAnsi="Arial Unicode MS" w:eastAsia="黑体"/>
      <w:kern w:val="0"/>
      <w:sz w:val="24"/>
    </w:rPr>
  </w:style>
  <w:style w:type="paragraph" w:customStyle="1" w:styleId="5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52">
    <w:name w:val="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53">
    <w:name w:val="批注文字 Char"/>
    <w:basedOn w:val="10"/>
    <w:link w:val="4"/>
    <w:semiHidden/>
    <w:qFormat/>
    <w:uiPriority w:val="0"/>
    <w:rPr>
      <w:kern w:val="2"/>
      <w:sz w:val="21"/>
      <w:szCs w:val="24"/>
    </w:rPr>
  </w:style>
  <w:style w:type="character" w:customStyle="1" w:styleId="54">
    <w:name w:val="批注主题 Char"/>
    <w:basedOn w:val="53"/>
    <w:link w:val="3"/>
    <w:semiHidden/>
    <w:qFormat/>
    <w:uiPriority w:val="0"/>
    <w:rPr>
      <w:b/>
      <w:bCs/>
      <w:kern w:val="2"/>
      <w:sz w:val="21"/>
      <w:szCs w:val="24"/>
    </w:rPr>
  </w:style>
  <w:style w:type="paragraph" w:customStyle="1" w:styleId="55">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57">
    <w:name w:val="Char1"/>
    <w:basedOn w:val="1"/>
    <w:semiHidden/>
    <w:qFormat/>
    <w:uiPriority w:val="0"/>
  </w:style>
  <w:style w:type="paragraph" w:customStyle="1" w:styleId="58">
    <w:name w:val="列出段落1"/>
    <w:basedOn w:val="1"/>
    <w:qFormat/>
    <w:uiPriority w:val="99"/>
    <w:pPr>
      <w:ind w:firstLine="420" w:firstLineChars="200"/>
    </w:pPr>
    <w:rPr>
      <w:rFonts w:ascii="Calibri" w:hAnsi="Calibri" w:cs="Calibri"/>
      <w:szCs w:val="21"/>
    </w:rPr>
  </w:style>
  <w:style w:type="paragraph" w:customStyle="1" w:styleId="59">
    <w:name w:val="Char11"/>
    <w:basedOn w:val="1"/>
    <w:semiHidden/>
    <w:qFormat/>
    <w:uiPriority w:val="0"/>
  </w:style>
  <w:style w:type="character" w:customStyle="1" w:styleId="60">
    <w:name w:val="正文文本缩进 2 Char"/>
    <w:basedOn w:val="10"/>
    <w:link w:val="5"/>
    <w:qFormat/>
    <w:uiPriority w:val="0"/>
    <w:rPr>
      <w:kern w:val="2"/>
      <w:sz w:val="21"/>
      <w:szCs w:val="24"/>
    </w:rPr>
  </w:style>
  <w:style w:type="paragraph" w:customStyle="1" w:styleId="61">
    <w:name w:val="列出段落2"/>
    <w:basedOn w:val="1"/>
    <w:qFormat/>
    <w:uiPriority w:val="99"/>
    <w:pPr>
      <w:ind w:firstLine="420" w:firstLineChars="200"/>
    </w:pPr>
    <w:rPr>
      <w:rFonts w:ascii="Calibri" w:hAnsi="Calibri" w:cs="Calibri"/>
      <w:szCs w:val="21"/>
    </w:rPr>
  </w:style>
  <w:style w:type="character" w:customStyle="1" w:styleId="62">
    <w:name w:val="short_text"/>
    <w:basedOn w:val="10"/>
    <w:qFormat/>
    <w:uiPriority w:val="0"/>
  </w:style>
  <w:style w:type="character" w:customStyle="1" w:styleId="63">
    <w:name w:val="hps"/>
    <w:basedOn w:val="10"/>
    <w:qFormat/>
    <w:uiPriority w:val="0"/>
  </w:style>
  <w:style w:type="character" w:customStyle="1" w:styleId="64">
    <w:name w:val="op_dict_text22"/>
    <w:basedOn w:val="10"/>
    <w:qFormat/>
    <w:uiPriority w:val="0"/>
  </w:style>
  <w:style w:type="paragraph" w:customStyle="1" w:styleId="6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66">
    <w:name w:val="标题 3 Char"/>
    <w:basedOn w:val="10"/>
    <w:link w:val="2"/>
    <w:qFormat/>
    <w:uiPriority w:val="9"/>
    <w:rPr>
      <w:b/>
      <w:bCs/>
      <w:kern w:val="2"/>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93FEB1-0F98-447D-8242-E7781593392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3709</Words>
  <Characters>21146</Characters>
  <Lines>176</Lines>
  <Paragraphs>49</Paragraphs>
  <ScaleCrop>false</ScaleCrop>
  <LinksUpToDate>false</LinksUpToDate>
  <CharactersWithSpaces>24806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2017-08-19T14:38:00Z</dcterms:created>
  <dc:creator>88</dc:creator>
  <cp:lastModifiedBy>Administrator</cp:lastModifiedBy>
  <cp:lastPrinted>2017-06-06T08:35:00Z</cp:lastPrinted>
  <dcterms:modified xsi:type="dcterms:W3CDTF">2017-11-20T01:01:29Z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